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69C78" w14:textId="3735DE92" w:rsidR="003E126E" w:rsidRPr="000F6196" w:rsidRDefault="003E126E">
      <w:pPr>
        <w:rPr>
          <w:rFonts w:ascii="Bookman Old Style" w:hAnsi="Bookman Old Style" w:cs="Times New Roman"/>
        </w:rPr>
      </w:pPr>
    </w:p>
    <w:p w14:paraId="5CC5F81D" w14:textId="62905EEB" w:rsidR="003E126E" w:rsidRPr="000F6196" w:rsidRDefault="003E126E">
      <w:pPr>
        <w:rPr>
          <w:rFonts w:ascii="Bookman Old Style" w:hAnsi="Bookman Old Style" w:cs="Times New Roman"/>
        </w:rPr>
      </w:pPr>
      <w:r w:rsidRPr="000F6196">
        <w:rPr>
          <w:rFonts w:ascii="Bookman Old Style" w:hAnsi="Bookman Old Style" w:cs="Times New Roman"/>
        </w:rPr>
        <w:tab/>
      </w:r>
      <w:r w:rsidRPr="000F6196">
        <w:rPr>
          <w:rFonts w:ascii="Bookman Old Style" w:hAnsi="Bookman Old Style" w:cs="Times New Roman"/>
        </w:rPr>
        <w:tab/>
      </w:r>
      <w:r w:rsidRPr="000F6196">
        <w:rPr>
          <w:rFonts w:ascii="Bookman Old Style" w:hAnsi="Bookman Old Style" w:cs="Times New Roman"/>
        </w:rPr>
        <w:tab/>
      </w:r>
      <w:r w:rsidRPr="000F6196">
        <w:rPr>
          <w:rFonts w:ascii="Bookman Old Style" w:hAnsi="Bookman Old Style" w:cs="Times New Roman"/>
        </w:rPr>
        <w:tab/>
      </w:r>
      <w:r w:rsidRPr="000F6196">
        <w:rPr>
          <w:rFonts w:ascii="Bookman Old Style" w:hAnsi="Bookman Old Style" w:cs="Times New Roman"/>
        </w:rPr>
        <w:tab/>
      </w:r>
      <w:r w:rsidRPr="000F6196">
        <w:rPr>
          <w:rFonts w:ascii="Bookman Old Style" w:hAnsi="Bookman Old Style" w:cs="Times New Roman"/>
        </w:rPr>
        <w:tab/>
      </w:r>
      <w:r w:rsidRPr="000F6196">
        <w:rPr>
          <w:rFonts w:ascii="Bookman Old Style" w:hAnsi="Bookman Old Style" w:cs="Times New Roman"/>
        </w:rPr>
        <w:tab/>
      </w:r>
      <w:r w:rsidR="003414D1" w:rsidRPr="000F6196">
        <w:rPr>
          <w:rFonts w:ascii="Bookman Old Style" w:hAnsi="Bookman Old Style" w:cs="Times New Roman"/>
        </w:rPr>
        <w:tab/>
      </w:r>
      <w:r w:rsidR="00E527F0">
        <w:rPr>
          <w:rFonts w:ascii="Bookman Old Style" w:hAnsi="Bookman Old Style" w:cs="Times New Roman"/>
        </w:rPr>
        <w:tab/>
      </w:r>
      <w:r w:rsidR="00E527F0">
        <w:rPr>
          <w:rFonts w:ascii="Bookman Old Style" w:hAnsi="Bookman Old Style" w:cs="Times New Roman"/>
        </w:rPr>
        <w:tab/>
      </w:r>
      <w:r w:rsidR="00E527F0">
        <w:rPr>
          <w:rFonts w:ascii="Bookman Old Style" w:hAnsi="Bookman Old Style" w:cs="Times New Roman"/>
        </w:rPr>
        <w:tab/>
      </w:r>
      <w:r w:rsidR="00E527F0" w:rsidRPr="00E527F0">
        <w:rPr>
          <w:rFonts w:ascii="Bookman Old Style" w:hAnsi="Bookman Old Style" w:cs="Times New Roman"/>
          <w:highlight w:val="yellow"/>
        </w:rPr>
        <w:t>DATE</w:t>
      </w:r>
    </w:p>
    <w:p w14:paraId="06118DC2" w14:textId="16640428" w:rsidR="003E126E" w:rsidRPr="000F6196" w:rsidRDefault="0061672D">
      <w:pPr>
        <w:rPr>
          <w:rFonts w:ascii="Bookman Old Style" w:hAnsi="Bookman Old Style" w:cs="Times New Roman"/>
        </w:rPr>
      </w:pPr>
      <w:r w:rsidRPr="0061672D">
        <w:rPr>
          <w:rFonts w:ascii="Bookman Old Style" w:hAnsi="Bookman Old Style" w:cs="Times New Roman"/>
          <w:highlight w:val="yellow"/>
        </w:rPr>
        <w:t>YOUR INFO</w:t>
      </w:r>
    </w:p>
    <w:p w14:paraId="35F0A1F5" w14:textId="1A608A87" w:rsidR="00027890" w:rsidRPr="000F6196" w:rsidRDefault="0061672D" w:rsidP="00027890">
      <w:pPr>
        <w:spacing w:after="0"/>
        <w:rPr>
          <w:rFonts w:ascii="Bookman Old Style" w:hAnsi="Bookman Old Style" w:cs="Times New Roman"/>
        </w:rPr>
      </w:pPr>
      <w:r>
        <w:rPr>
          <w:rFonts w:ascii="Bookman Old Style" w:hAnsi="Bookman Old Style" w:cs="Times New Roman"/>
          <w:highlight w:val="yellow"/>
        </w:rPr>
        <w:t xml:space="preserve">YOUR </w:t>
      </w:r>
      <w:r w:rsidR="00E527F0" w:rsidRPr="00E527F0">
        <w:rPr>
          <w:rFonts w:ascii="Bookman Old Style" w:hAnsi="Bookman Old Style" w:cs="Times New Roman"/>
          <w:highlight w:val="yellow"/>
        </w:rPr>
        <w:t>ADDRESS</w:t>
      </w:r>
    </w:p>
    <w:p w14:paraId="677B94EC" w14:textId="77777777" w:rsidR="003E126E" w:rsidRDefault="003E126E">
      <w:pPr>
        <w:rPr>
          <w:rFonts w:ascii="Bookman Old Style" w:hAnsi="Bookman Old Style" w:cs="Times New Roman"/>
        </w:rPr>
      </w:pPr>
    </w:p>
    <w:p w14:paraId="5911B006" w14:textId="47C8AD46" w:rsidR="00C9546C" w:rsidRDefault="00C9546C" w:rsidP="008175B7">
      <w:pPr>
        <w:spacing w:after="0"/>
        <w:rPr>
          <w:rFonts w:ascii="Bookman Old Style" w:hAnsi="Bookman Old Style" w:cs="Times New Roman"/>
        </w:rPr>
      </w:pPr>
      <w:r>
        <w:rPr>
          <w:rFonts w:ascii="Bookman Old Style" w:hAnsi="Bookman Old Style" w:cs="Times New Roman"/>
        </w:rPr>
        <w:t>Kara Moriarty</w:t>
      </w:r>
    </w:p>
    <w:p w14:paraId="4C30E0EF" w14:textId="05318D98" w:rsidR="008175B7" w:rsidRDefault="008175B7" w:rsidP="008175B7">
      <w:pPr>
        <w:spacing w:after="0"/>
        <w:rPr>
          <w:rFonts w:ascii="Bookman Old Style" w:hAnsi="Bookman Old Style" w:cs="Times New Roman"/>
        </w:rPr>
      </w:pPr>
      <w:r>
        <w:rPr>
          <w:rFonts w:ascii="Bookman Old Style" w:hAnsi="Bookman Old Style" w:cs="Times New Roman"/>
        </w:rPr>
        <w:t>Office of the Secretary, Senior Advisor for Alaska Affairs</w:t>
      </w:r>
    </w:p>
    <w:p w14:paraId="05FC9767" w14:textId="68D69BAE" w:rsidR="008175B7" w:rsidRDefault="008175B7" w:rsidP="008175B7">
      <w:pPr>
        <w:spacing w:after="0"/>
        <w:rPr>
          <w:rFonts w:ascii="Bookman Old Style" w:hAnsi="Bookman Old Style" w:cs="Times New Roman"/>
        </w:rPr>
      </w:pPr>
      <w:r>
        <w:rPr>
          <w:rFonts w:ascii="Bookman Old Style" w:hAnsi="Bookman Old Style" w:cs="Times New Roman"/>
        </w:rPr>
        <w:t>4230 University Drive, Suite 300</w:t>
      </w:r>
    </w:p>
    <w:p w14:paraId="294EE25B" w14:textId="273A5B51" w:rsidR="008175B7" w:rsidRDefault="008175B7" w:rsidP="008175B7">
      <w:pPr>
        <w:spacing w:after="0"/>
        <w:rPr>
          <w:rFonts w:ascii="Bookman Old Style" w:hAnsi="Bookman Old Style" w:cs="Times New Roman"/>
        </w:rPr>
      </w:pPr>
      <w:r>
        <w:rPr>
          <w:rFonts w:ascii="Bookman Old Style" w:hAnsi="Bookman Old Style" w:cs="Times New Roman"/>
        </w:rPr>
        <w:t>Anchorage, Alaska 99508</w:t>
      </w:r>
    </w:p>
    <w:p w14:paraId="6A5B5C31" w14:textId="2AD4B88E" w:rsidR="008175B7" w:rsidRDefault="008175B7" w:rsidP="008175B7">
      <w:pPr>
        <w:spacing w:after="0"/>
        <w:rPr>
          <w:rFonts w:ascii="Bookman Old Style" w:hAnsi="Bookman Old Style" w:cs="Times New Roman"/>
        </w:rPr>
      </w:pPr>
      <w:hyperlink r:id="rId7" w:history="1">
        <w:r w:rsidRPr="004F6899">
          <w:rPr>
            <w:rStyle w:val="Hyperlink"/>
            <w:rFonts w:ascii="Bookman Old Style" w:hAnsi="Bookman Old Style" w:cs="Times New Roman"/>
          </w:rPr>
          <w:t>subsistence@ios.doi.gov</w:t>
        </w:r>
      </w:hyperlink>
      <w:r>
        <w:rPr>
          <w:rFonts w:ascii="Bookman Old Style" w:hAnsi="Bookman Old Style" w:cs="Times New Roman"/>
        </w:rPr>
        <w:tab/>
      </w:r>
    </w:p>
    <w:p w14:paraId="3111A4B7" w14:textId="77777777" w:rsidR="008175B7" w:rsidRPr="000F6196" w:rsidRDefault="008175B7" w:rsidP="008175B7">
      <w:pPr>
        <w:spacing w:after="0"/>
        <w:rPr>
          <w:rFonts w:ascii="Bookman Old Style" w:hAnsi="Bookman Old Style" w:cs="Times New Roman"/>
        </w:rPr>
      </w:pPr>
    </w:p>
    <w:p w14:paraId="0C9D6242" w14:textId="408ECC2C" w:rsidR="003E126E" w:rsidRPr="000F6196" w:rsidRDefault="003E126E" w:rsidP="000F6196">
      <w:pPr>
        <w:ind w:left="720" w:hanging="720"/>
        <w:rPr>
          <w:rFonts w:ascii="Bookman Old Style" w:hAnsi="Bookman Old Style" w:cs="Times New Roman"/>
          <w:b/>
          <w:bCs/>
        </w:rPr>
      </w:pPr>
      <w:r w:rsidRPr="000F6196">
        <w:rPr>
          <w:rFonts w:ascii="Bookman Old Style" w:hAnsi="Bookman Old Style" w:cs="Times New Roman"/>
          <w:b/>
          <w:bCs/>
        </w:rPr>
        <w:t>RE:</w:t>
      </w:r>
      <w:r w:rsidRPr="000F6196">
        <w:rPr>
          <w:rFonts w:ascii="Bookman Old Style" w:hAnsi="Bookman Old Style" w:cs="Times New Roman"/>
          <w:b/>
          <w:bCs/>
        </w:rPr>
        <w:tab/>
      </w:r>
      <w:r w:rsidR="00E527F0">
        <w:rPr>
          <w:rFonts w:ascii="Bookman Old Style" w:hAnsi="Bookman Old Style" w:cs="Times New Roman"/>
          <w:b/>
          <w:bCs/>
        </w:rPr>
        <w:t>Federal Subsistence Management Program Review</w:t>
      </w:r>
      <w:r w:rsidR="00C9546C">
        <w:rPr>
          <w:rFonts w:ascii="Bookman Old Style" w:hAnsi="Bookman Old Style" w:cs="Times New Roman"/>
          <w:b/>
          <w:bCs/>
        </w:rPr>
        <w:t>, Docket DOI-2025-0170</w:t>
      </w:r>
      <w:r w:rsidRPr="000F6196">
        <w:rPr>
          <w:rFonts w:ascii="Bookman Old Style" w:hAnsi="Bookman Old Style" w:cs="Times New Roman"/>
          <w:b/>
          <w:bCs/>
        </w:rPr>
        <w:br/>
      </w:r>
    </w:p>
    <w:p w14:paraId="491E94F3" w14:textId="2624D846" w:rsidR="003E126E" w:rsidRPr="000F6196" w:rsidRDefault="003E126E">
      <w:pPr>
        <w:rPr>
          <w:rFonts w:ascii="Bookman Old Style" w:hAnsi="Bookman Old Style" w:cs="Times New Roman"/>
        </w:rPr>
      </w:pPr>
      <w:r w:rsidRPr="000F6196">
        <w:rPr>
          <w:rFonts w:ascii="Bookman Old Style" w:hAnsi="Bookman Old Style" w:cs="Times New Roman"/>
        </w:rPr>
        <w:t xml:space="preserve">Dear </w:t>
      </w:r>
      <w:r w:rsidR="00C9546C">
        <w:rPr>
          <w:rFonts w:ascii="Bookman Old Style" w:hAnsi="Bookman Old Style" w:cs="Times New Roman"/>
        </w:rPr>
        <w:t>Ms. Moriarty</w:t>
      </w:r>
      <w:r w:rsidRPr="000F6196">
        <w:rPr>
          <w:rFonts w:ascii="Bookman Old Style" w:hAnsi="Bookman Old Style" w:cs="Times New Roman"/>
        </w:rPr>
        <w:t>:</w:t>
      </w:r>
    </w:p>
    <w:p w14:paraId="29847EEE" w14:textId="77777777" w:rsidR="002B6707" w:rsidRDefault="003E126E">
      <w:pPr>
        <w:rPr>
          <w:rFonts w:ascii="Bookman Old Style" w:hAnsi="Bookman Old Style" w:cs="Times New Roman"/>
        </w:rPr>
      </w:pPr>
      <w:r w:rsidRPr="000F6196">
        <w:rPr>
          <w:rFonts w:ascii="Bookman Old Style" w:hAnsi="Bookman Old Style" w:cs="Times New Roman"/>
        </w:rPr>
        <w:tab/>
      </w:r>
      <w:r w:rsidR="00E527F0">
        <w:rPr>
          <w:rFonts w:ascii="Bookman Old Style" w:hAnsi="Bookman Old Style" w:cs="Times New Roman"/>
        </w:rPr>
        <w:t xml:space="preserve">Thank you for the opportunity to provide </w:t>
      </w:r>
      <w:r w:rsidR="006305AC">
        <w:rPr>
          <w:rFonts w:ascii="Bookman Old Style" w:hAnsi="Bookman Old Style" w:cs="Times New Roman"/>
        </w:rPr>
        <w:t xml:space="preserve">comments to ensure that the Secretaries’ review of the Federal Subsistence Management Program </w:t>
      </w:r>
      <w:r w:rsidR="00294BB1">
        <w:rPr>
          <w:rFonts w:ascii="Bookman Old Style" w:hAnsi="Bookman Old Style" w:cs="Times New Roman"/>
        </w:rPr>
        <w:t xml:space="preserve">(the “Program”) </w:t>
      </w:r>
      <w:r w:rsidR="006305AC">
        <w:rPr>
          <w:rFonts w:ascii="Bookman Old Style" w:hAnsi="Bookman Old Style" w:cs="Times New Roman"/>
        </w:rPr>
        <w:t xml:space="preserve">considers all possible </w:t>
      </w:r>
      <w:r w:rsidR="00294BB1">
        <w:rPr>
          <w:rFonts w:ascii="Bookman Old Style" w:hAnsi="Bookman Old Style" w:cs="Times New Roman"/>
        </w:rPr>
        <w:t>aspects of changes to the Program across Alaska.</w:t>
      </w:r>
      <w:r w:rsidR="00923457">
        <w:rPr>
          <w:rFonts w:ascii="Bookman Old Style" w:hAnsi="Bookman Old Style" w:cs="Times New Roman"/>
        </w:rPr>
        <w:t xml:space="preserve"> </w:t>
      </w:r>
    </w:p>
    <w:p w14:paraId="065C620C" w14:textId="509970AD" w:rsidR="003E126E" w:rsidRPr="000F6196" w:rsidRDefault="002B6707" w:rsidP="002B6707">
      <w:pPr>
        <w:ind w:firstLine="720"/>
        <w:rPr>
          <w:rFonts w:ascii="Bookman Old Style" w:hAnsi="Bookman Old Style" w:cs="Times New Roman"/>
        </w:rPr>
      </w:pPr>
      <w:r w:rsidRPr="002B6707">
        <w:rPr>
          <w:rFonts w:ascii="Bookman Old Style" w:hAnsi="Bookman Old Style" w:cs="Times New Roman"/>
          <w:highlight w:val="yellow"/>
        </w:rPr>
        <w:t>[Introduce yourself</w:t>
      </w:r>
      <w:r>
        <w:rPr>
          <w:rFonts w:ascii="Bookman Old Style" w:hAnsi="Bookman Old Style" w:cs="Times New Roman"/>
          <w:highlight w:val="yellow"/>
        </w:rPr>
        <w:t xml:space="preserve"> and your interest in federal subsistence management and the rural priority</w:t>
      </w:r>
      <w:r w:rsidRPr="002B6707">
        <w:rPr>
          <w:rFonts w:ascii="Bookman Old Style" w:hAnsi="Bookman Old Style" w:cs="Times New Roman"/>
          <w:highlight w:val="yellow"/>
        </w:rPr>
        <w:t xml:space="preserve">. If you are part of </w:t>
      </w:r>
      <w:r>
        <w:rPr>
          <w:rFonts w:ascii="Bookman Old Style" w:hAnsi="Bookman Old Style" w:cs="Times New Roman"/>
          <w:highlight w:val="yellow"/>
        </w:rPr>
        <w:t xml:space="preserve">the </w:t>
      </w:r>
      <w:r w:rsidRPr="002B6707">
        <w:rPr>
          <w:rFonts w:ascii="Bookman Old Style" w:hAnsi="Bookman Old Style" w:cs="Times New Roman"/>
          <w:highlight w:val="yellow"/>
        </w:rPr>
        <w:t>leadership</w:t>
      </w:r>
      <w:r>
        <w:rPr>
          <w:rFonts w:ascii="Bookman Old Style" w:hAnsi="Bookman Old Style" w:cs="Times New Roman"/>
          <w:highlight w:val="yellow"/>
        </w:rPr>
        <w:t xml:space="preserve"> of a Native organization, corporation, Tribe, village, or other group</w:t>
      </w:r>
      <w:r w:rsidRPr="002B6707">
        <w:rPr>
          <w:rFonts w:ascii="Bookman Old Style" w:hAnsi="Bookman Old Style" w:cs="Times New Roman"/>
          <w:highlight w:val="yellow"/>
        </w:rPr>
        <w:t>, please include how many people you represent.]</w:t>
      </w:r>
      <w:r>
        <w:rPr>
          <w:rFonts w:ascii="Bookman Old Style" w:hAnsi="Bookman Old Style" w:cs="Times New Roman"/>
        </w:rPr>
        <w:t xml:space="preserve"> </w:t>
      </w:r>
      <w:r w:rsidR="00923457" w:rsidRPr="00923457">
        <w:rPr>
          <w:rFonts w:ascii="Bookman Old Style" w:hAnsi="Bookman Old Style" w:cs="Times New Roman"/>
          <w:highlight w:val="yellow"/>
        </w:rPr>
        <w:t>We/I</w:t>
      </w:r>
      <w:r w:rsidR="00923457">
        <w:rPr>
          <w:rFonts w:ascii="Bookman Old Style" w:hAnsi="Bookman Old Style" w:cs="Times New Roman"/>
        </w:rPr>
        <w:t xml:space="preserve"> urge the Secretaries to conduct a thorough, considered, and unhurried review of the Program, and especially urge that the Secretaries hold consultation meetings with Alaska Native</w:t>
      </w:r>
      <w:r w:rsidR="00DF2910">
        <w:rPr>
          <w:rFonts w:ascii="Bookman Old Style" w:hAnsi="Bookman Old Style" w:cs="Times New Roman"/>
        </w:rPr>
        <w:t xml:space="preserve"> </w:t>
      </w:r>
      <w:r w:rsidR="00923457">
        <w:rPr>
          <w:rFonts w:ascii="Bookman Old Style" w:hAnsi="Bookman Old Style" w:cs="Times New Roman"/>
        </w:rPr>
        <w:t>and rural Alaskan communities across Alaska</w:t>
      </w:r>
      <w:r w:rsidR="00DF2910">
        <w:rPr>
          <w:rFonts w:ascii="Bookman Old Style" w:hAnsi="Bookman Old Style" w:cs="Times New Roman"/>
        </w:rPr>
        <w:t>, as well as formal consultation with Alaska Native Tribes,</w:t>
      </w:r>
      <w:r w:rsidR="00923457">
        <w:rPr>
          <w:rFonts w:ascii="Bookman Old Style" w:hAnsi="Bookman Old Style" w:cs="Times New Roman"/>
        </w:rPr>
        <w:t xml:space="preserve"> before making any decisions. </w:t>
      </w:r>
      <w:r w:rsidR="00294BB1">
        <w:rPr>
          <w:rFonts w:ascii="Bookman Old Style" w:hAnsi="Bookman Old Style" w:cs="Times New Roman"/>
        </w:rPr>
        <w:t xml:space="preserve"> </w:t>
      </w:r>
      <w:r w:rsidR="00027890">
        <w:rPr>
          <w:rFonts w:ascii="Bookman Old Style" w:hAnsi="Bookman Old Style" w:cs="Times New Roman"/>
        </w:rPr>
        <w:t xml:space="preserve"> </w:t>
      </w:r>
    </w:p>
    <w:p w14:paraId="4E547EAE" w14:textId="1FE632B2" w:rsidR="00294BB1" w:rsidRDefault="00FE652E" w:rsidP="00294BB1">
      <w:pPr>
        <w:rPr>
          <w:rFonts w:ascii="Bookman Old Style" w:hAnsi="Bookman Old Style" w:cs="Times New Roman"/>
        </w:rPr>
      </w:pPr>
      <w:r w:rsidRPr="000F6196">
        <w:rPr>
          <w:rFonts w:ascii="Bookman Old Style" w:hAnsi="Bookman Old Style" w:cs="Times New Roman"/>
        </w:rPr>
        <w:tab/>
      </w:r>
      <w:r w:rsidR="00294BB1">
        <w:rPr>
          <w:rFonts w:ascii="Bookman Old Style" w:hAnsi="Bookman Old Style" w:cs="Times New Roman"/>
        </w:rPr>
        <w:t xml:space="preserve">The Secretaries of the Interior and of Agriculture set up the Program to implement Congress’s enactment of a rural priority for subsistence fishing and hunting in Title VIII of the Alaska National Interest Lands Conservation Act (ANILCA). Because the state of Alaska is unable to provide any priority for subsistence access to a subset of residents, the Program provides the only legal protection for rural Alaskan subsistence. Many rural Alaskans are Alaska Native and rely on the Program to continue to practice traditional ways of life. </w:t>
      </w:r>
    </w:p>
    <w:p w14:paraId="0F620769" w14:textId="617D68F2" w:rsidR="00CB7378" w:rsidRDefault="00CB7378" w:rsidP="00294BB1">
      <w:pPr>
        <w:rPr>
          <w:rFonts w:ascii="Bookman Old Style" w:hAnsi="Bookman Old Style" w:cs="Times New Roman"/>
        </w:rPr>
      </w:pPr>
      <w:r>
        <w:rPr>
          <w:rFonts w:ascii="Bookman Old Style" w:hAnsi="Bookman Old Style" w:cs="Times New Roman"/>
        </w:rPr>
        <w:lastRenderedPageBreak/>
        <w:tab/>
        <w:t xml:space="preserve">Accordingly, </w:t>
      </w:r>
      <w:r w:rsidRPr="00CB7378">
        <w:rPr>
          <w:rFonts w:ascii="Bookman Old Style" w:hAnsi="Bookman Old Style" w:cs="Times New Roman"/>
          <w:highlight w:val="yellow"/>
        </w:rPr>
        <w:t>we/I</w:t>
      </w:r>
      <w:r>
        <w:rPr>
          <w:rFonts w:ascii="Bookman Old Style" w:hAnsi="Bookman Old Style" w:cs="Times New Roman"/>
        </w:rPr>
        <w:t xml:space="preserve"> urge you to carefully consider any changes to the Program or to the authority of the Federal Subsistence Board (the “Board”) that may result in a restriction of the Program and the rural preference. The Program and Board serve an important function in preserving rural Alaskans’ subsistence lifestyle, which is the mainstay of the rural economy. Rural Alaska is largely not connected to the road system. </w:t>
      </w:r>
      <w:r w:rsidRPr="00CB7378">
        <w:rPr>
          <w:rFonts w:ascii="Bookman Old Style" w:hAnsi="Bookman Old Style" w:cs="Times New Roman"/>
        </w:rPr>
        <w:t>Economically, the cost to replace the 34 million pounds of wild foods (plants, fish, and game) harvested for subsistence by rural Alaskans was estimated at $170-340 million in 2019 dollars.</w:t>
      </w:r>
      <w:r w:rsidRPr="00CB7378">
        <w:rPr>
          <w:rFonts w:ascii="Bookman Old Style" w:hAnsi="Bookman Old Style" w:cs="Times New Roman"/>
          <w:vertAlign w:val="superscript"/>
        </w:rPr>
        <w:footnoteReference w:id="1"/>
      </w:r>
      <w:r w:rsidRPr="00CB7378">
        <w:rPr>
          <w:rFonts w:ascii="Bookman Old Style" w:hAnsi="Bookman Old Style" w:cs="Times New Roman"/>
        </w:rPr>
        <w:t xml:space="preserve"> Many of Alaska’s salmon runs, caribou herds, and other wild foods are already in decline. Accelerating these declines by upsetting the careful balance of subsistence regulation would have catastrophic effects on rural communities across Alaska.</w:t>
      </w:r>
    </w:p>
    <w:p w14:paraId="6D750219" w14:textId="7B24DCE1" w:rsidR="008E5F0B" w:rsidRDefault="008E5F0B" w:rsidP="00294BB1">
      <w:pPr>
        <w:rPr>
          <w:rFonts w:ascii="Bookman Old Style" w:hAnsi="Bookman Old Style" w:cs="Times New Roman"/>
        </w:rPr>
      </w:pPr>
      <w:r>
        <w:rPr>
          <w:rFonts w:ascii="Bookman Old Style" w:hAnsi="Bookman Old Style" w:cs="Times New Roman"/>
          <w:b/>
          <w:bCs/>
        </w:rPr>
        <w:t>Keep the Office of Subsistence Management in the Office of the Assistant Secretary for Policy, Management, and Budget of the Department of the Interior</w:t>
      </w:r>
    </w:p>
    <w:p w14:paraId="73DB6FDD" w14:textId="2017D853" w:rsidR="008E5F0B" w:rsidRDefault="008E5F0B" w:rsidP="00294BB1">
      <w:pPr>
        <w:rPr>
          <w:rFonts w:ascii="Bookman Old Style" w:hAnsi="Bookman Old Style" w:cs="Times New Roman"/>
        </w:rPr>
      </w:pPr>
      <w:r>
        <w:rPr>
          <w:rFonts w:ascii="Bookman Old Style" w:hAnsi="Bookman Old Style" w:cs="Times New Roman"/>
        </w:rPr>
        <w:tab/>
        <w:t>Moving the Office of Subsistence Management (OSM) to the Office of the Assistant Secretary for Policy, Management, and Budget promoted efficiency in government. When OSM was under the Fish &amp; Wildlife Service, its budget was reduced by overhead and administrative costs. Moving OSM allowed more money to go directly into its work protecting subsistence and aligned the office more with the Secretary of the Interior directly</w:t>
      </w:r>
      <w:r w:rsidR="00F3526D">
        <w:rPr>
          <w:rFonts w:ascii="Bookman Old Style" w:hAnsi="Bookman Old Style" w:cs="Times New Roman"/>
        </w:rPr>
        <w:t>, rather than with the broader goals of the Fish &amp; Wildlife Service</w:t>
      </w:r>
      <w:r>
        <w:rPr>
          <w:rFonts w:ascii="Bookman Old Style" w:hAnsi="Bookman Old Style" w:cs="Times New Roman"/>
        </w:rPr>
        <w:t>.</w:t>
      </w:r>
      <w:r w:rsidR="00F3526D">
        <w:rPr>
          <w:rFonts w:ascii="Bookman Old Style" w:hAnsi="Bookman Old Style" w:cs="Times New Roman"/>
        </w:rPr>
        <w:t xml:space="preserve"> The move was based on strong support from Alaskan Tribes, Alaska Native Corporations, the public, and rural subsistence users, and was authorized by the Senate.</w:t>
      </w:r>
      <w:r>
        <w:rPr>
          <w:rFonts w:ascii="Bookman Old Style" w:hAnsi="Bookman Old Style" w:cs="Times New Roman"/>
        </w:rPr>
        <w:t xml:space="preserve"> </w:t>
      </w:r>
      <w:r w:rsidR="00CD1CD9">
        <w:rPr>
          <w:rFonts w:ascii="Bookman Old Style" w:hAnsi="Bookman Old Style" w:cs="Times New Roman"/>
        </w:rPr>
        <w:t xml:space="preserve">As part of this scoping process, the Secretaries should consider whether any further moves of OSM would be disruptive to the smooth operation of the Program. </w:t>
      </w:r>
    </w:p>
    <w:p w14:paraId="3D2AA02D" w14:textId="51665051" w:rsidR="00CD1CD9" w:rsidRPr="008E5F0B" w:rsidRDefault="00CD1CD9" w:rsidP="00294BB1">
      <w:pPr>
        <w:rPr>
          <w:rFonts w:ascii="Bookman Old Style" w:hAnsi="Bookman Old Style" w:cs="Times New Roman"/>
        </w:rPr>
      </w:pPr>
      <w:r>
        <w:rPr>
          <w:rFonts w:ascii="Bookman Old Style" w:hAnsi="Bookman Old Style" w:cs="Times New Roman"/>
        </w:rPr>
        <w:tab/>
      </w:r>
      <w:r w:rsidRPr="00CD1CD9">
        <w:rPr>
          <w:rFonts w:ascii="Bookman Old Style" w:hAnsi="Bookman Old Style" w:cs="Times New Roman"/>
          <w:highlight w:val="yellow"/>
        </w:rPr>
        <w:t>[Include any of your thoughts on why this issue is important and what the Secretaries should consider in the scoping process.]</w:t>
      </w:r>
    </w:p>
    <w:p w14:paraId="7138F73F" w14:textId="3814262F" w:rsidR="00CF66A9" w:rsidRPr="00CF66A9" w:rsidRDefault="00CF66A9" w:rsidP="00294BB1">
      <w:pPr>
        <w:rPr>
          <w:rFonts w:ascii="Bookman Old Style" w:hAnsi="Bookman Old Style" w:cs="Times New Roman"/>
          <w:b/>
          <w:bCs/>
        </w:rPr>
      </w:pPr>
      <w:r>
        <w:rPr>
          <w:rFonts w:ascii="Bookman Old Style" w:hAnsi="Bookman Old Style" w:cs="Times New Roman"/>
          <w:b/>
          <w:bCs/>
        </w:rPr>
        <w:t>Preserve the Board’s Public Seats</w:t>
      </w:r>
    </w:p>
    <w:p w14:paraId="52DADD3B" w14:textId="58568EF9" w:rsidR="007C113D" w:rsidRDefault="00A94968" w:rsidP="00294BB1">
      <w:pPr>
        <w:rPr>
          <w:rFonts w:ascii="Bookman Old Style" w:hAnsi="Bookman Old Style" w:cs="Times New Roman"/>
        </w:rPr>
      </w:pPr>
      <w:r>
        <w:rPr>
          <w:rFonts w:ascii="Bookman Old Style" w:hAnsi="Bookman Old Style" w:cs="Times New Roman"/>
        </w:rPr>
        <w:tab/>
        <w:t xml:space="preserve">Because the Board implements the </w:t>
      </w:r>
      <w:r w:rsidR="00BE315F">
        <w:rPr>
          <w:rFonts w:ascii="Bookman Old Style" w:hAnsi="Bookman Old Style" w:cs="Times New Roman"/>
        </w:rPr>
        <w:t>rural subsistence priority</w:t>
      </w:r>
      <w:r>
        <w:rPr>
          <w:rFonts w:ascii="Bookman Old Style" w:hAnsi="Bookman Old Style" w:cs="Times New Roman"/>
        </w:rPr>
        <w:t xml:space="preserve">, it is critical to preserve the public seats on the Board, including the three tribally-nominated seats. The agency leaders who sit on the Board bring valuable experience as public servants and agency experts, but </w:t>
      </w:r>
      <w:r w:rsidR="007C113D">
        <w:rPr>
          <w:rFonts w:ascii="Bookman Old Style" w:hAnsi="Bookman Old Style" w:cs="Times New Roman"/>
        </w:rPr>
        <w:t xml:space="preserve">as the Secretaries have </w:t>
      </w:r>
      <w:r w:rsidR="007C113D">
        <w:rPr>
          <w:rFonts w:ascii="Bookman Old Style" w:hAnsi="Bookman Old Style" w:cs="Times New Roman"/>
        </w:rPr>
        <w:lastRenderedPageBreak/>
        <w:t xml:space="preserve">previously noted, they </w:t>
      </w:r>
      <w:r>
        <w:rPr>
          <w:rFonts w:ascii="Bookman Old Style" w:hAnsi="Bookman Old Style" w:cs="Times New Roman"/>
        </w:rPr>
        <w:t xml:space="preserve">do not have the </w:t>
      </w:r>
      <w:r w:rsidR="007C113D">
        <w:rPr>
          <w:rFonts w:ascii="Bookman Old Style" w:hAnsi="Bookman Old Style" w:cs="Times New Roman"/>
        </w:rPr>
        <w:t xml:space="preserve">same </w:t>
      </w:r>
      <w:r>
        <w:rPr>
          <w:rFonts w:ascii="Bookman Old Style" w:hAnsi="Bookman Old Style" w:cs="Times New Roman"/>
        </w:rPr>
        <w:t xml:space="preserve">firsthand experience </w:t>
      </w:r>
      <w:r w:rsidR="007C113D">
        <w:rPr>
          <w:rFonts w:ascii="Bookman Old Style" w:hAnsi="Bookman Old Style" w:cs="Times New Roman"/>
        </w:rPr>
        <w:t>as</w:t>
      </w:r>
      <w:r>
        <w:rPr>
          <w:rFonts w:ascii="Bookman Old Style" w:hAnsi="Bookman Old Style" w:cs="Times New Roman"/>
        </w:rPr>
        <w:t xml:space="preserve"> </w:t>
      </w:r>
      <w:r w:rsidR="007C113D">
        <w:rPr>
          <w:rFonts w:ascii="Bookman Old Style" w:hAnsi="Bookman Old Style" w:cs="Times New Roman"/>
        </w:rPr>
        <w:t>rural Alaskans</w:t>
      </w:r>
      <w:r>
        <w:rPr>
          <w:rFonts w:ascii="Bookman Old Style" w:hAnsi="Bookman Old Style" w:cs="Times New Roman"/>
        </w:rPr>
        <w:t xml:space="preserve"> who live a subsistence way of life</w:t>
      </w:r>
      <w:r w:rsidR="002B6707">
        <w:rPr>
          <w:rFonts w:ascii="Bookman Old Style" w:hAnsi="Bookman Old Style" w:cs="Times New Roman"/>
        </w:rPr>
        <w:t>.</w:t>
      </w:r>
      <w:r w:rsidR="007C113D">
        <w:rPr>
          <w:rStyle w:val="FootnoteReference"/>
          <w:rFonts w:ascii="Bookman Old Style" w:hAnsi="Bookman Old Style" w:cs="Times New Roman"/>
        </w:rPr>
        <w:footnoteReference w:id="2"/>
      </w:r>
      <w:r w:rsidR="007C113D">
        <w:rPr>
          <w:rFonts w:ascii="Bookman Old Style" w:hAnsi="Bookman Old Style" w:cs="Times New Roman"/>
        </w:rPr>
        <w:t xml:space="preserve">  </w:t>
      </w:r>
    </w:p>
    <w:p w14:paraId="30EFE930" w14:textId="5519F1DC" w:rsidR="007C113D" w:rsidRDefault="007C113D" w:rsidP="007C113D">
      <w:pPr>
        <w:spacing w:line="240" w:lineRule="auto"/>
        <w:ind w:left="720" w:right="720"/>
        <w:jc w:val="both"/>
        <w:rPr>
          <w:rFonts w:ascii="Bookman Old Style" w:hAnsi="Bookman Old Style" w:cs="Times New Roman"/>
        </w:rPr>
      </w:pPr>
      <w:r w:rsidRPr="007C113D">
        <w:rPr>
          <w:rFonts w:ascii="Bookman Old Style" w:hAnsi="Bookman Old Style" w:cs="Times New Roman"/>
        </w:rPr>
        <w:t>Alaska, given its vast and varied geography, has a wide variety of subsistence uses based on place and seasons. The variations include differences in species of fish, land mammals, and marine mammals subject to harvest, in addition to seasonal availability of the same resource, such as salmon, across different areas of the State. The breadth of subsistence practices may indicate a need for a diversity of subsistence use experiences on the Board to improve Federal decision making.</w:t>
      </w:r>
      <w:r>
        <w:rPr>
          <w:rStyle w:val="FootnoteReference"/>
          <w:rFonts w:ascii="Bookman Old Style" w:hAnsi="Bookman Old Style" w:cs="Times New Roman"/>
        </w:rPr>
        <w:footnoteReference w:id="3"/>
      </w:r>
    </w:p>
    <w:p w14:paraId="4BF0ACA6" w14:textId="55EA3DDF" w:rsidR="00A94968" w:rsidRDefault="007C113D" w:rsidP="00CF66A9">
      <w:pPr>
        <w:ind w:firstLine="720"/>
        <w:rPr>
          <w:rFonts w:ascii="Bookman Old Style" w:hAnsi="Bookman Old Style" w:cs="Times New Roman"/>
        </w:rPr>
      </w:pPr>
      <w:r>
        <w:rPr>
          <w:rFonts w:ascii="Bookman Old Style" w:hAnsi="Bookman Old Style" w:cs="Times New Roman"/>
        </w:rPr>
        <w:t>Accordingly</w:t>
      </w:r>
      <w:r w:rsidR="00261295">
        <w:rPr>
          <w:rFonts w:ascii="Bookman Old Style" w:hAnsi="Bookman Old Style" w:cs="Times New Roman"/>
        </w:rPr>
        <w:t>, the Secretaries wisely included public members on the Board, and recently expanded the number of public members in response to requests from Alaska Tribes and Native organizations.</w:t>
      </w:r>
      <w:r w:rsidR="00146ED7">
        <w:rPr>
          <w:rFonts w:ascii="Bookman Old Style" w:hAnsi="Bookman Old Style" w:cs="Times New Roman"/>
        </w:rPr>
        <w:t xml:space="preserve"> The public members of the Board add to the Board’s expertise, including by bringing the traditional ecological knowledge of Alaska Native peoples to the table.</w:t>
      </w:r>
      <w:r w:rsidR="00261295">
        <w:rPr>
          <w:rFonts w:ascii="Bookman Old Style" w:hAnsi="Bookman Old Style" w:cs="Times New Roman"/>
        </w:rPr>
        <w:t xml:space="preserve"> Including representation from rural Alaskans with expertise in subsistence ways of life helps the Secretaries meet their statutory burden to protect subsistence uses. </w:t>
      </w:r>
      <w:r w:rsidR="00CD1CD9">
        <w:rPr>
          <w:rFonts w:ascii="Bookman Old Style" w:hAnsi="Bookman Old Style" w:cs="Times New Roman"/>
        </w:rPr>
        <w:t>In this scoping process, the Secretaries should carefully consider how having public input on the Board helps in fulfilling their statutory obligations under Title VIII.</w:t>
      </w:r>
      <w:r w:rsidR="00A94968">
        <w:rPr>
          <w:rFonts w:ascii="Bookman Old Style" w:hAnsi="Bookman Old Style" w:cs="Times New Roman"/>
        </w:rPr>
        <w:t xml:space="preserve"> </w:t>
      </w:r>
    </w:p>
    <w:p w14:paraId="42881907" w14:textId="5DCD8E13" w:rsidR="00CD1CD9" w:rsidRDefault="00CD1CD9" w:rsidP="00CD1CD9">
      <w:pPr>
        <w:rPr>
          <w:rFonts w:ascii="Bookman Old Style" w:hAnsi="Bookman Old Style" w:cs="Times New Roman"/>
        </w:rPr>
      </w:pPr>
      <w:r>
        <w:rPr>
          <w:rFonts w:ascii="Bookman Old Style" w:hAnsi="Bookman Old Style" w:cs="Times New Roman"/>
        </w:rPr>
        <w:tab/>
      </w:r>
      <w:r w:rsidRPr="00CD1CD9">
        <w:rPr>
          <w:rFonts w:ascii="Bookman Old Style" w:hAnsi="Bookman Old Style" w:cs="Times New Roman"/>
          <w:highlight w:val="yellow"/>
        </w:rPr>
        <w:t>[Include any of your thoughts on why this issue is important and what the Secretaries should consider in the scoping process.]</w:t>
      </w:r>
    </w:p>
    <w:p w14:paraId="26CB5090" w14:textId="437164CA" w:rsidR="00CF66A9" w:rsidRDefault="00CF66A9" w:rsidP="00294BB1">
      <w:pPr>
        <w:rPr>
          <w:rFonts w:ascii="Bookman Old Style" w:hAnsi="Bookman Old Style" w:cs="Times New Roman"/>
          <w:b/>
          <w:bCs/>
        </w:rPr>
      </w:pPr>
      <w:r>
        <w:rPr>
          <w:rFonts w:ascii="Bookman Old Style" w:hAnsi="Bookman Old Style" w:cs="Times New Roman"/>
          <w:b/>
          <w:bCs/>
        </w:rPr>
        <w:t xml:space="preserve">The Board Should Not Defer to the Alaska Department of Fish and Game </w:t>
      </w:r>
    </w:p>
    <w:p w14:paraId="2B2278E7" w14:textId="2A6C30D1" w:rsidR="00D5530C" w:rsidRDefault="00CF66A9" w:rsidP="00294BB1">
      <w:pPr>
        <w:rPr>
          <w:rFonts w:ascii="Bookman Old Style" w:hAnsi="Bookman Old Style" w:cs="Times New Roman"/>
        </w:rPr>
      </w:pPr>
      <w:r>
        <w:rPr>
          <w:rFonts w:ascii="Bookman Old Style" w:hAnsi="Bookman Old Style" w:cs="Times New Roman"/>
        </w:rPr>
        <w:tab/>
        <w:t xml:space="preserve">Title VIII of ANILCA expressly established the rural subsistence priority as a federal program applicable to federal land and waters. While the original intent of the system was that the state of Alaska would be delegated to administer the rural priority, the Alaska Supreme Court declared that model unconstitutional in </w:t>
      </w:r>
      <w:r>
        <w:rPr>
          <w:rFonts w:ascii="Bookman Old Style" w:hAnsi="Bookman Old Style" w:cs="Times New Roman"/>
          <w:i/>
          <w:iCs/>
        </w:rPr>
        <w:t>McDowell v. State of Alaska</w:t>
      </w:r>
      <w:r>
        <w:rPr>
          <w:rFonts w:ascii="Bookman Old Style" w:hAnsi="Bookman Old Style" w:cs="Times New Roman"/>
        </w:rPr>
        <w:t xml:space="preserve">, 785 P.2d 1 (Alaska 1989). The Secretaries subsequently created the Board and federal Program to administer a federal priority on federal lands and waters. </w:t>
      </w:r>
      <w:r w:rsidR="00081BB9">
        <w:rPr>
          <w:rFonts w:ascii="Bookman Old Style" w:hAnsi="Bookman Old Style" w:cs="Times New Roman"/>
        </w:rPr>
        <w:t xml:space="preserve">Alaska considers all Alaskans subsistence users, and cannot implement any kind of priority for rural Alaskans. </w:t>
      </w:r>
      <w:r w:rsidR="004C2C3E">
        <w:rPr>
          <w:rFonts w:ascii="Bookman Old Style" w:hAnsi="Bookman Old Style" w:cs="Times New Roman"/>
        </w:rPr>
        <w:t>State regulations do not provide the rural subsistence priority Congress enacted in ANILCA.</w:t>
      </w:r>
    </w:p>
    <w:p w14:paraId="25DC32E6" w14:textId="6FF30127" w:rsidR="00CF66A9" w:rsidRDefault="00D5530C" w:rsidP="00D5530C">
      <w:pPr>
        <w:ind w:firstLine="720"/>
        <w:rPr>
          <w:rFonts w:ascii="Bookman Old Style" w:hAnsi="Bookman Old Style" w:cs="Times New Roman"/>
        </w:rPr>
      </w:pPr>
      <w:r>
        <w:rPr>
          <w:rFonts w:ascii="Bookman Old Style" w:hAnsi="Bookman Old Style" w:cs="Times New Roman"/>
        </w:rPr>
        <w:t>Accordingly, deference to state regulations would be inappropriate</w:t>
      </w:r>
      <w:r w:rsidR="009C1C44">
        <w:rPr>
          <w:rFonts w:ascii="Bookman Old Style" w:hAnsi="Bookman Old Style" w:cs="Times New Roman"/>
        </w:rPr>
        <w:t>, contrary to ANILCA’s mandate,</w:t>
      </w:r>
      <w:r w:rsidR="004C2C3E">
        <w:rPr>
          <w:rFonts w:ascii="Bookman Old Style" w:hAnsi="Bookman Old Style" w:cs="Times New Roman"/>
        </w:rPr>
        <w:t xml:space="preserve"> and would fail to uphold the Secretaries’ </w:t>
      </w:r>
      <w:r w:rsidR="004C2C3E">
        <w:rPr>
          <w:rFonts w:ascii="Bookman Old Style" w:hAnsi="Bookman Old Style" w:cs="Times New Roman"/>
        </w:rPr>
        <w:lastRenderedPageBreak/>
        <w:t>responsibilities under Title VIII.</w:t>
      </w:r>
      <w:r>
        <w:rPr>
          <w:rFonts w:ascii="Bookman Old Style" w:hAnsi="Bookman Old Style" w:cs="Times New Roman"/>
        </w:rPr>
        <w:t xml:space="preserve"> </w:t>
      </w:r>
      <w:r w:rsidR="004C2C3E">
        <w:rPr>
          <w:rFonts w:ascii="Bookman Old Style" w:hAnsi="Bookman Old Style" w:cs="Times New Roman"/>
        </w:rPr>
        <w:t>The Board</w:t>
      </w:r>
      <w:r>
        <w:rPr>
          <w:rFonts w:ascii="Bookman Old Style" w:hAnsi="Bookman Old Style" w:cs="Times New Roman"/>
        </w:rPr>
        <w:t xml:space="preserve"> administer</w:t>
      </w:r>
      <w:r w:rsidR="004C2C3E">
        <w:rPr>
          <w:rFonts w:ascii="Bookman Old Style" w:hAnsi="Bookman Old Style" w:cs="Times New Roman"/>
        </w:rPr>
        <w:t>s</w:t>
      </w:r>
      <w:r>
        <w:rPr>
          <w:rFonts w:ascii="Bookman Old Style" w:hAnsi="Bookman Old Style" w:cs="Times New Roman"/>
        </w:rPr>
        <w:t xml:space="preserve"> a federal priority program on federal lands and waters</w:t>
      </w:r>
      <w:r w:rsidR="004C2C3E">
        <w:rPr>
          <w:rFonts w:ascii="Bookman Old Style" w:hAnsi="Bookman Old Style" w:cs="Times New Roman"/>
        </w:rPr>
        <w:t>.</w:t>
      </w:r>
      <w:r>
        <w:rPr>
          <w:rFonts w:ascii="Bookman Old Style" w:hAnsi="Bookman Old Style" w:cs="Times New Roman"/>
        </w:rPr>
        <w:t xml:space="preserve"> </w:t>
      </w:r>
      <w:r w:rsidR="004C2C3E">
        <w:rPr>
          <w:rFonts w:ascii="Bookman Old Style" w:hAnsi="Bookman Old Style" w:cs="Times New Roman"/>
        </w:rPr>
        <w:t>Requiring the Board to implement state regulations would be</w:t>
      </w:r>
      <w:r>
        <w:rPr>
          <w:rFonts w:ascii="Bookman Old Style" w:hAnsi="Bookman Old Style" w:cs="Times New Roman"/>
        </w:rPr>
        <w:t xml:space="preserve"> counter to the objectives of the Program, since the state cannot implement a policy that complies with federal law. The present regulations already grant the state a consulting role, which is sufficient for the state to weigh in on Board actions. Mandating any deferential attitude toward state regulations, which do not (and cannot) meet the requirements Congress set forth in ANILCA would be counter to the needs of rural subsistence users and an abrogation of the Secretaries’ responsibilities under Title VIII.</w:t>
      </w:r>
      <w:r w:rsidR="00CD1CD9">
        <w:rPr>
          <w:rFonts w:ascii="Bookman Old Style" w:hAnsi="Bookman Old Style" w:cs="Times New Roman"/>
        </w:rPr>
        <w:t xml:space="preserve"> In this scoping process, the Secretaries should consider that their highest responsibility is to protect rural Alaskan subsistence in accordance with their obligations under Title VIII, and carefully consider whether involvement by the Alaska Department of Fish and Game is consistent with that responsibility.</w:t>
      </w:r>
    </w:p>
    <w:p w14:paraId="1F74E7D6" w14:textId="79B76857" w:rsidR="00CD1CD9" w:rsidRDefault="00CD1CD9" w:rsidP="00CD1CD9">
      <w:pPr>
        <w:rPr>
          <w:rFonts w:ascii="Bookman Old Style" w:hAnsi="Bookman Old Style" w:cs="Times New Roman"/>
        </w:rPr>
      </w:pPr>
      <w:r>
        <w:rPr>
          <w:rFonts w:ascii="Bookman Old Style" w:hAnsi="Bookman Old Style" w:cs="Times New Roman"/>
        </w:rPr>
        <w:tab/>
      </w:r>
      <w:r w:rsidRPr="00CD1CD9">
        <w:rPr>
          <w:rFonts w:ascii="Bookman Old Style" w:hAnsi="Bookman Old Style" w:cs="Times New Roman"/>
          <w:highlight w:val="yellow"/>
        </w:rPr>
        <w:t>[Include any of your thoughts on why this issue is important and what the Secretaries should consider in the scoping process.]</w:t>
      </w:r>
    </w:p>
    <w:p w14:paraId="0A2F6992" w14:textId="1B5DF1AD" w:rsidR="00F3526D" w:rsidRDefault="00F3526D" w:rsidP="00CD1CD9">
      <w:pPr>
        <w:rPr>
          <w:rFonts w:ascii="Bookman Old Style" w:hAnsi="Bookman Old Style" w:cs="Times New Roman"/>
          <w:b/>
          <w:bCs/>
        </w:rPr>
      </w:pPr>
      <w:r>
        <w:rPr>
          <w:rFonts w:ascii="Bookman Old Style" w:hAnsi="Bookman Old Style" w:cs="Times New Roman"/>
          <w:b/>
          <w:bCs/>
        </w:rPr>
        <w:t>Preserve Existing Regional Advisory Council (RAC) Membership Criteria</w:t>
      </w:r>
    </w:p>
    <w:p w14:paraId="14F058A5" w14:textId="77777777" w:rsidR="0066582A" w:rsidRDefault="00F3526D" w:rsidP="00CD1CD9">
      <w:pPr>
        <w:rPr>
          <w:rFonts w:ascii="Bookman Old Style" w:hAnsi="Bookman Old Style" w:cs="Times New Roman"/>
        </w:rPr>
      </w:pPr>
      <w:r>
        <w:rPr>
          <w:rFonts w:ascii="Bookman Old Style" w:hAnsi="Bookman Old Style" w:cs="Times New Roman"/>
        </w:rPr>
        <w:tab/>
        <w:t xml:space="preserve">The ten RACs advise the Board with knowledge from each region of Alaska. </w:t>
      </w:r>
      <w:r w:rsidR="00203CCF">
        <w:rPr>
          <w:rFonts w:ascii="Bookman Old Style" w:hAnsi="Bookman Old Style" w:cs="Times New Roman"/>
        </w:rPr>
        <w:t xml:space="preserve">The members of the RACs must be residents of the region they represent and have personal knowledge of the fish and wildlife </w:t>
      </w:r>
      <w:proofErr w:type="gramStart"/>
      <w:r w:rsidR="00203CCF">
        <w:rPr>
          <w:rFonts w:ascii="Bookman Old Style" w:hAnsi="Bookman Old Style" w:cs="Times New Roman"/>
        </w:rPr>
        <w:t>resources</w:t>
      </w:r>
      <w:proofErr w:type="gramEnd"/>
      <w:r w:rsidR="00203CCF">
        <w:rPr>
          <w:rFonts w:ascii="Bookman Old Style" w:hAnsi="Bookman Old Style" w:cs="Times New Roman"/>
        </w:rPr>
        <w:t xml:space="preserve"> and subsistence uses in that region. The RACs were created in ANILCA to further “the encouragement of local and regional participation . . . in the decision-making process affecting the taking of fish and wildlife on the public lands within the region for subsistence uses.”</w:t>
      </w:r>
      <w:r w:rsidR="00203CCF">
        <w:rPr>
          <w:rStyle w:val="FootnoteReference"/>
          <w:rFonts w:ascii="Bookman Old Style" w:hAnsi="Bookman Old Style" w:cs="Times New Roman"/>
        </w:rPr>
        <w:footnoteReference w:id="4"/>
      </w:r>
      <w:r w:rsidR="00480EAC">
        <w:rPr>
          <w:rFonts w:ascii="Bookman Old Style" w:hAnsi="Bookman Old Style" w:cs="Times New Roman"/>
        </w:rPr>
        <w:t xml:space="preserve"> </w:t>
      </w:r>
    </w:p>
    <w:p w14:paraId="63EBC6B5" w14:textId="7B520756" w:rsidR="00416556" w:rsidRDefault="00480EAC" w:rsidP="0066582A">
      <w:pPr>
        <w:ind w:firstLine="720"/>
        <w:rPr>
          <w:rFonts w:ascii="Bookman Old Style" w:hAnsi="Bookman Old Style" w:cs="Times New Roman"/>
        </w:rPr>
      </w:pPr>
      <w:r>
        <w:rPr>
          <w:rFonts w:ascii="Bookman Old Style" w:hAnsi="Bookman Old Style" w:cs="Times New Roman"/>
        </w:rPr>
        <w:t>The Secretaries have created a carefully crafted system for RAC membership to represent subsistence users (as ANILCA requires) while including the views of sport and commercial hunters as well.</w:t>
      </w:r>
      <w:r>
        <w:rPr>
          <w:rStyle w:val="FootnoteReference"/>
          <w:rFonts w:ascii="Bookman Old Style" w:hAnsi="Bookman Old Style" w:cs="Times New Roman"/>
        </w:rPr>
        <w:footnoteReference w:id="5"/>
      </w:r>
      <w:r w:rsidR="005121CD">
        <w:rPr>
          <w:rFonts w:ascii="Bookman Old Style" w:hAnsi="Bookman Old Style" w:cs="Times New Roman"/>
        </w:rPr>
        <w:t xml:space="preserve"> As part of soliciting applications for the RACs, the Secretaries conduct outreach, including to commercial and sport use organizations, and carefully consider the qualifications of applicants.</w:t>
      </w:r>
      <w:r w:rsidR="005121CD">
        <w:rPr>
          <w:rStyle w:val="FootnoteReference"/>
          <w:rFonts w:ascii="Bookman Old Style" w:hAnsi="Bookman Old Style" w:cs="Times New Roman"/>
        </w:rPr>
        <w:footnoteReference w:id="6"/>
      </w:r>
      <w:r w:rsidR="005121CD">
        <w:rPr>
          <w:rFonts w:ascii="Bookman Old Style" w:hAnsi="Bookman Old Style" w:cs="Times New Roman"/>
        </w:rPr>
        <w:t xml:space="preserve"> This system has worked well, and has supported the purpose of the RACs, which is specifically to “provide a forum for interested person to advise the Board regarding any matter pertaining to subsistence uses and needs.”</w:t>
      </w:r>
      <w:r w:rsidR="005121CD">
        <w:rPr>
          <w:rStyle w:val="FootnoteReference"/>
          <w:rFonts w:ascii="Bookman Old Style" w:hAnsi="Bookman Old Style" w:cs="Times New Roman"/>
        </w:rPr>
        <w:footnoteReference w:id="7"/>
      </w:r>
      <w:r w:rsidR="005121CD">
        <w:rPr>
          <w:rFonts w:ascii="Bookman Old Style" w:hAnsi="Bookman Old Style" w:cs="Times New Roman"/>
        </w:rPr>
        <w:t xml:space="preserve"> Loosening the criteria for RAC membership, including by removing the Secretaries’ role in appointing RAC members, would </w:t>
      </w:r>
      <w:r w:rsidR="005121CD">
        <w:rPr>
          <w:rFonts w:ascii="Bookman Old Style" w:hAnsi="Bookman Old Style" w:cs="Times New Roman"/>
        </w:rPr>
        <w:lastRenderedPageBreak/>
        <w:t xml:space="preserve">overturn this carefully crafted system and diminish the RACs ability to </w:t>
      </w:r>
      <w:r w:rsidR="00416556">
        <w:rPr>
          <w:rFonts w:ascii="Bookman Old Style" w:hAnsi="Bookman Old Style" w:cs="Times New Roman"/>
        </w:rPr>
        <w:t xml:space="preserve">provide advice that helps the Board and Secretaries fulfill the purposes of Title VIII. </w:t>
      </w:r>
    </w:p>
    <w:p w14:paraId="5E39B0AA" w14:textId="45CF3BCB" w:rsidR="00F3526D" w:rsidRDefault="00416556" w:rsidP="00CD1CD9">
      <w:pPr>
        <w:rPr>
          <w:rFonts w:ascii="Bookman Old Style" w:hAnsi="Bookman Old Style" w:cs="Times New Roman"/>
        </w:rPr>
      </w:pPr>
      <w:r w:rsidRPr="00416556">
        <w:rPr>
          <w:rFonts w:ascii="Bookman Old Style" w:hAnsi="Bookman Old Style" w:cs="Times New Roman"/>
          <w:highlight w:val="yellow"/>
        </w:rPr>
        <w:t>[Describe how your region’s RAC and its members have advocated for subsistence issues important to your region. Please include specific issues or times where the RAC provided useful information or proposals to the Board.]</w:t>
      </w:r>
      <w:r>
        <w:rPr>
          <w:rFonts w:ascii="Bookman Old Style" w:hAnsi="Bookman Old Style" w:cs="Times New Roman"/>
        </w:rPr>
        <w:t xml:space="preserve"> </w:t>
      </w:r>
    </w:p>
    <w:p w14:paraId="787932F3" w14:textId="057DF151" w:rsidR="0066582A" w:rsidRDefault="0066582A" w:rsidP="00CD1CD9">
      <w:pPr>
        <w:rPr>
          <w:rFonts w:ascii="Bookman Old Style" w:hAnsi="Bookman Old Style" w:cs="Times New Roman"/>
        </w:rPr>
      </w:pPr>
      <w:r>
        <w:rPr>
          <w:rFonts w:ascii="Bookman Old Style" w:hAnsi="Bookman Old Style" w:cs="Times New Roman"/>
          <w:b/>
          <w:bCs/>
        </w:rPr>
        <w:t>Preserve the Board’s Flexibility to Implement Special Actions</w:t>
      </w:r>
    </w:p>
    <w:p w14:paraId="268C306D" w14:textId="77777777" w:rsidR="002B6707" w:rsidRDefault="0066582A" w:rsidP="00CD1CD9">
      <w:pPr>
        <w:rPr>
          <w:rFonts w:ascii="Bookman Old Style" w:hAnsi="Bookman Old Style" w:cs="Times New Roman"/>
        </w:rPr>
      </w:pPr>
      <w:r>
        <w:rPr>
          <w:rFonts w:ascii="Bookman Old Style" w:hAnsi="Bookman Old Style" w:cs="Times New Roman"/>
        </w:rPr>
        <w:tab/>
        <w:t xml:space="preserve">Special Actions are emergency measures the Board can undertake to respond quickly when a situation calls for it. The Board’s authority to use special actions to respond to emergencies has been unsuccessfully challenged in court. Courts recognize that the Board must be able to take emergency actions to protect rural Alaskans’ food supplies, especially when emergency situations arise at times out of the usual regulatory cycle. </w:t>
      </w:r>
    </w:p>
    <w:p w14:paraId="3B41782E" w14:textId="0BB7D5A7" w:rsidR="0066582A" w:rsidRDefault="0066582A" w:rsidP="002B6707">
      <w:pPr>
        <w:ind w:firstLine="720"/>
        <w:rPr>
          <w:rFonts w:ascii="Bookman Old Style" w:hAnsi="Bookman Old Style" w:cs="Times New Roman"/>
        </w:rPr>
      </w:pPr>
      <w:r>
        <w:rPr>
          <w:rFonts w:ascii="Bookman Old Style" w:hAnsi="Bookman Old Style" w:cs="Times New Roman"/>
        </w:rPr>
        <w:t xml:space="preserve">The special action process works, and should remain in its current form. </w:t>
      </w:r>
      <w:r w:rsidR="00AE7ED2">
        <w:rPr>
          <w:rFonts w:ascii="Bookman Old Style" w:hAnsi="Bookman Old Style" w:cs="Times New Roman"/>
        </w:rPr>
        <w:t>In fact, Alaska recently sued over the Board’s emergency authority, and the Ninth Circuit Court of Appeals held that the Board’s actions were legally sufficient and supported by ANILCA’s mandate to protect rural Alaskan subsistence.</w:t>
      </w:r>
      <w:r w:rsidR="00AE7ED2">
        <w:rPr>
          <w:rStyle w:val="FootnoteReference"/>
          <w:rFonts w:ascii="Bookman Old Style" w:hAnsi="Bookman Old Style" w:cs="Times New Roman"/>
        </w:rPr>
        <w:footnoteReference w:id="8"/>
      </w:r>
      <w:r w:rsidR="00AE7ED2">
        <w:rPr>
          <w:rFonts w:ascii="Bookman Old Style" w:hAnsi="Bookman Old Style" w:cs="Times New Roman"/>
        </w:rPr>
        <w:t xml:space="preserve"> </w:t>
      </w:r>
      <w:r>
        <w:rPr>
          <w:rFonts w:ascii="Bookman Old Style" w:hAnsi="Bookman Old Style" w:cs="Times New Roman"/>
        </w:rPr>
        <w:t xml:space="preserve">Any attempt to introduce regulations to make it more difficult for the Board to use its emergency authority will result in unnecessary hardship for rural Alaskans during times of scarcity and hunger, which is contrary to the purposes of ANILCA Title VIII and the Secretaries’ obligations. </w:t>
      </w:r>
    </w:p>
    <w:p w14:paraId="4B5CA86F" w14:textId="5E8D2544" w:rsidR="0066582A" w:rsidRDefault="0066582A" w:rsidP="00CD1CD9">
      <w:pPr>
        <w:rPr>
          <w:rFonts w:ascii="Bookman Old Style" w:hAnsi="Bookman Old Style" w:cs="Times New Roman"/>
        </w:rPr>
      </w:pPr>
      <w:r w:rsidRPr="0066582A">
        <w:rPr>
          <w:rFonts w:ascii="Bookman Old Style" w:hAnsi="Bookman Old Style" w:cs="Times New Roman"/>
          <w:highlight w:val="yellow"/>
        </w:rPr>
        <w:t>[Include any comments or thoughts on emergency actions in your region, and why the Board’s ability to respond to situations quickly has been important.]</w:t>
      </w:r>
    </w:p>
    <w:p w14:paraId="5484C753" w14:textId="038689BB" w:rsidR="001C6A3D" w:rsidRDefault="001C6A3D" w:rsidP="00CD1CD9">
      <w:pPr>
        <w:rPr>
          <w:rFonts w:ascii="Bookman Old Style" w:hAnsi="Bookman Old Style" w:cs="Times New Roman"/>
        </w:rPr>
      </w:pPr>
      <w:r>
        <w:rPr>
          <w:rFonts w:ascii="Bookman Old Style" w:hAnsi="Bookman Old Style" w:cs="Times New Roman"/>
          <w:b/>
          <w:bCs/>
        </w:rPr>
        <w:t>Preserve the Board’s Authority to make Rural Determinations</w:t>
      </w:r>
    </w:p>
    <w:p w14:paraId="166D4E3D" w14:textId="77777777" w:rsidR="001C6A3D" w:rsidRDefault="001C6A3D" w:rsidP="00CD1CD9">
      <w:pPr>
        <w:rPr>
          <w:rFonts w:ascii="Bookman Old Style" w:hAnsi="Bookman Old Style" w:cs="Times New Roman"/>
        </w:rPr>
      </w:pPr>
      <w:r>
        <w:rPr>
          <w:rFonts w:ascii="Bookman Old Style" w:hAnsi="Bookman Old Style" w:cs="Times New Roman"/>
        </w:rPr>
        <w:tab/>
        <w:t xml:space="preserve">To be rural in Alaska is different from being in a rural area in the Lower 48. Rural Alaska is largely disconnected from the road system and dependent on air or marine logistics, which differ hugely from community to community. The Board is well equipped to determine, on a careful case-by-case basis, what areas of Alaska should be considered rural versus nonrural. This system has been carefully considered in crafting both regulation and policy. </w:t>
      </w:r>
    </w:p>
    <w:p w14:paraId="31F905C8" w14:textId="77777777" w:rsidR="001C6A3D" w:rsidRDefault="001C6A3D" w:rsidP="001C6A3D">
      <w:pPr>
        <w:ind w:firstLine="720"/>
        <w:rPr>
          <w:rFonts w:ascii="Bookman Old Style" w:hAnsi="Bookman Old Style" w:cs="Times New Roman"/>
        </w:rPr>
      </w:pPr>
      <w:r w:rsidRPr="001C6A3D">
        <w:rPr>
          <w:rFonts w:ascii="Bookman Old Style" w:hAnsi="Bookman Old Style" w:cs="Times New Roman"/>
        </w:rPr>
        <w:t>In 2015, the Secretaries revised the regulations governing the rural determination process</w:t>
      </w:r>
      <w:r>
        <w:rPr>
          <w:rFonts w:ascii="Bookman Old Style" w:hAnsi="Bookman Old Style" w:cs="Times New Roman"/>
        </w:rPr>
        <w:t xml:space="preserve">, and </w:t>
      </w:r>
      <w:r w:rsidRPr="001C6A3D">
        <w:rPr>
          <w:rFonts w:ascii="Bookman Old Style" w:hAnsi="Bookman Old Style" w:cs="Times New Roman"/>
        </w:rPr>
        <w:t>removed specific rural determination guidelines and criteria, including requirements regarding population data, the aggregation of communities, and a decennial review. Th</w:t>
      </w:r>
      <w:r>
        <w:rPr>
          <w:rFonts w:ascii="Bookman Old Style" w:hAnsi="Bookman Old Style" w:cs="Times New Roman"/>
        </w:rPr>
        <w:t>is revision</w:t>
      </w:r>
      <w:r w:rsidRPr="001C6A3D">
        <w:rPr>
          <w:rFonts w:ascii="Bookman Old Style" w:hAnsi="Bookman Old Style" w:cs="Times New Roman"/>
        </w:rPr>
        <w:t xml:space="preserve"> allowed the Board to make nonrural determinations using a comprehensive approach that may </w:t>
      </w:r>
      <w:r w:rsidRPr="001C6A3D">
        <w:rPr>
          <w:rFonts w:ascii="Bookman Old Style" w:hAnsi="Bookman Old Style" w:cs="Times New Roman"/>
        </w:rPr>
        <w:lastRenderedPageBreak/>
        <w:t xml:space="preserve">consider such factors as population size and density, economic indicators, military presence, industrial facilities, use of fish and wildlife, degree of remoteness and isolation, and any other relevant material, including information provided by the public. </w:t>
      </w:r>
    </w:p>
    <w:p w14:paraId="540A4978" w14:textId="7B6BE0F7" w:rsidR="001C6A3D" w:rsidRDefault="001C6A3D" w:rsidP="001C6A3D">
      <w:pPr>
        <w:ind w:firstLine="720"/>
        <w:rPr>
          <w:rFonts w:ascii="Bookman Old Style" w:hAnsi="Bookman Old Style" w:cs="Times New Roman"/>
        </w:rPr>
      </w:pPr>
      <w:r w:rsidRPr="001C6A3D">
        <w:rPr>
          <w:rFonts w:ascii="Bookman Old Style" w:hAnsi="Bookman Old Style" w:cs="Times New Roman"/>
        </w:rPr>
        <w:t xml:space="preserve">The </w:t>
      </w:r>
      <w:r>
        <w:rPr>
          <w:rFonts w:ascii="Bookman Old Style" w:hAnsi="Bookman Old Style" w:cs="Times New Roman"/>
        </w:rPr>
        <w:t>Board</w:t>
      </w:r>
      <w:r w:rsidRPr="001C6A3D">
        <w:rPr>
          <w:rFonts w:ascii="Bookman Old Style" w:hAnsi="Bookman Old Style" w:cs="Times New Roman"/>
        </w:rPr>
        <w:t xml:space="preserve"> adopted an updated rural determination policy in 2017</w:t>
      </w:r>
      <w:r>
        <w:rPr>
          <w:rFonts w:ascii="Bookman Old Style" w:hAnsi="Bookman Old Style" w:cs="Times New Roman"/>
        </w:rPr>
        <w:t xml:space="preserve"> to provide clarity and transparency while allowing the board to be flexible in making determinations that account for the significant differences among Alaskan communities</w:t>
      </w:r>
      <w:r w:rsidRPr="001C6A3D">
        <w:rPr>
          <w:rFonts w:ascii="Bookman Old Style" w:hAnsi="Bookman Old Style" w:cs="Times New Roman"/>
        </w:rPr>
        <w:t>.</w:t>
      </w:r>
      <w:r>
        <w:rPr>
          <w:rStyle w:val="FootnoteReference"/>
          <w:rFonts w:ascii="Bookman Old Style" w:hAnsi="Bookman Old Style" w:cs="Times New Roman"/>
        </w:rPr>
        <w:footnoteReference w:id="9"/>
      </w:r>
      <w:r w:rsidRPr="001C6A3D">
        <w:rPr>
          <w:rFonts w:ascii="Bookman Old Style" w:hAnsi="Bookman Old Style" w:cs="Times New Roman"/>
        </w:rPr>
        <w:t xml:space="preserve"> </w:t>
      </w:r>
      <w:r>
        <w:rPr>
          <w:rFonts w:ascii="Bookman Old Style" w:hAnsi="Bookman Old Style" w:cs="Times New Roman"/>
        </w:rPr>
        <w:t>T</w:t>
      </w:r>
      <w:r w:rsidRPr="001C6A3D">
        <w:rPr>
          <w:rFonts w:ascii="Bookman Old Style" w:hAnsi="Bookman Old Style" w:cs="Times New Roman"/>
        </w:rPr>
        <w:t>he rural determination process, as revised, is working well and does not warrant changes</w:t>
      </w:r>
      <w:r w:rsidR="002B6707">
        <w:rPr>
          <w:rFonts w:ascii="Bookman Old Style" w:hAnsi="Bookman Old Style" w:cs="Times New Roman"/>
        </w:rPr>
        <w:t>. In the past, Native perspectives were not considered sufficiently in the Board’s processes regarding rural determinations. The present system and makeup of the Board, including the Tribally-nominated seats, grants the rural and Native population of Alaska the greatest level of participation in these processes that we have ever had</w:t>
      </w:r>
      <w:r w:rsidR="00507EA9">
        <w:rPr>
          <w:rFonts w:ascii="Bookman Old Style" w:hAnsi="Bookman Old Style" w:cs="Times New Roman"/>
        </w:rPr>
        <w:t xml:space="preserve">. These processes and seats should be maintained.  </w:t>
      </w:r>
    </w:p>
    <w:p w14:paraId="44D3FAF5" w14:textId="44868146" w:rsidR="001C6A3D" w:rsidRPr="001C6A3D" w:rsidRDefault="001C6A3D" w:rsidP="00CD1CD9">
      <w:pPr>
        <w:rPr>
          <w:rFonts w:ascii="Bookman Old Style" w:hAnsi="Bookman Old Style" w:cs="Times New Roman"/>
        </w:rPr>
      </w:pPr>
      <w:r w:rsidRPr="001C6A3D">
        <w:rPr>
          <w:rFonts w:ascii="Bookman Old Style" w:hAnsi="Bookman Old Style" w:cs="Times New Roman"/>
          <w:highlight w:val="yellow"/>
        </w:rPr>
        <w:t>[Add any comments on the rural determination process.]</w:t>
      </w:r>
    </w:p>
    <w:p w14:paraId="3432B93F" w14:textId="34B2A6C5" w:rsidR="00B96357" w:rsidRDefault="000F6196">
      <w:pPr>
        <w:rPr>
          <w:rFonts w:ascii="Bookman Old Style" w:hAnsi="Bookman Old Style" w:cs="Times New Roman"/>
        </w:rPr>
      </w:pPr>
      <w:r w:rsidRPr="001C6A3D">
        <w:rPr>
          <w:rFonts w:ascii="Bookman Old Style" w:hAnsi="Bookman Old Style" w:cs="Times New Roman"/>
          <w:highlight w:val="yellow"/>
        </w:rPr>
        <w:t>We</w:t>
      </w:r>
      <w:r w:rsidR="001C6A3D" w:rsidRPr="001C6A3D">
        <w:rPr>
          <w:rFonts w:ascii="Bookman Old Style" w:hAnsi="Bookman Old Style" w:cs="Times New Roman"/>
          <w:highlight w:val="yellow"/>
        </w:rPr>
        <w:t>/I</w:t>
      </w:r>
      <w:r w:rsidRPr="000F6196">
        <w:rPr>
          <w:rFonts w:ascii="Bookman Old Style" w:hAnsi="Bookman Old Style" w:cs="Times New Roman"/>
        </w:rPr>
        <w:t xml:space="preserve"> would be happy to talk to you further </w:t>
      </w:r>
      <w:r w:rsidR="001C6A3D">
        <w:rPr>
          <w:rFonts w:ascii="Bookman Old Style" w:hAnsi="Bookman Old Style" w:cs="Times New Roman"/>
        </w:rPr>
        <w:t>about these comments</w:t>
      </w:r>
      <w:r w:rsidRPr="000F6196">
        <w:rPr>
          <w:rFonts w:ascii="Bookman Old Style" w:hAnsi="Bookman Old Style" w:cs="Times New Roman"/>
        </w:rPr>
        <w:t xml:space="preserve"> or any related issues.</w:t>
      </w:r>
      <w:r w:rsidR="00B96357">
        <w:rPr>
          <w:rFonts w:ascii="Bookman Old Style" w:hAnsi="Bookman Old Style" w:cs="Times New Roman"/>
        </w:rPr>
        <w:br/>
      </w:r>
    </w:p>
    <w:p w14:paraId="12366A1D" w14:textId="463D2EA1" w:rsidR="000F6196" w:rsidRPr="000F6196" w:rsidRDefault="000F6196">
      <w:pPr>
        <w:rPr>
          <w:rFonts w:ascii="Bookman Old Style" w:hAnsi="Bookman Old Style" w:cs="Times New Roman"/>
        </w:rPr>
      </w:pPr>
      <w:r w:rsidRPr="000F6196">
        <w:rPr>
          <w:rFonts w:ascii="Bookman Old Style" w:hAnsi="Bookman Old Style" w:cs="Times New Roman"/>
        </w:rPr>
        <w:tab/>
      </w:r>
      <w:r w:rsidRPr="000F6196">
        <w:rPr>
          <w:rFonts w:ascii="Bookman Old Style" w:hAnsi="Bookman Old Style" w:cs="Times New Roman"/>
        </w:rPr>
        <w:tab/>
      </w:r>
      <w:r w:rsidRPr="000F6196">
        <w:rPr>
          <w:rFonts w:ascii="Bookman Old Style" w:hAnsi="Bookman Old Style" w:cs="Times New Roman"/>
        </w:rPr>
        <w:tab/>
      </w:r>
      <w:r w:rsidRPr="000F6196">
        <w:rPr>
          <w:rFonts w:ascii="Bookman Old Style" w:hAnsi="Bookman Old Style" w:cs="Times New Roman"/>
        </w:rPr>
        <w:tab/>
      </w:r>
      <w:r w:rsidRPr="000F6196">
        <w:rPr>
          <w:rFonts w:ascii="Bookman Old Style" w:hAnsi="Bookman Old Style" w:cs="Times New Roman"/>
        </w:rPr>
        <w:tab/>
      </w:r>
      <w:r w:rsidRPr="000F6196">
        <w:rPr>
          <w:rFonts w:ascii="Bookman Old Style" w:hAnsi="Bookman Old Style" w:cs="Times New Roman"/>
        </w:rPr>
        <w:tab/>
      </w:r>
      <w:r w:rsidRPr="000F6196">
        <w:rPr>
          <w:rFonts w:ascii="Bookman Old Style" w:hAnsi="Bookman Old Style" w:cs="Times New Roman"/>
        </w:rPr>
        <w:tab/>
        <w:t>Respectfully,</w:t>
      </w:r>
    </w:p>
    <w:p w14:paraId="4BAEF341" w14:textId="3D7A8251" w:rsidR="000F6196" w:rsidRPr="000F6196" w:rsidRDefault="000F6196" w:rsidP="00AD247F">
      <w:pPr>
        <w:rPr>
          <w:rFonts w:ascii="Bookman Old Style" w:hAnsi="Bookman Old Style" w:cs="Times New Roman"/>
        </w:rPr>
      </w:pPr>
      <w:r w:rsidRPr="000F6196">
        <w:rPr>
          <w:rFonts w:ascii="Bookman Old Style" w:hAnsi="Bookman Old Style" w:cs="Times New Roman"/>
        </w:rPr>
        <w:tab/>
      </w:r>
      <w:r w:rsidRPr="000F6196">
        <w:rPr>
          <w:rFonts w:ascii="Bookman Old Style" w:hAnsi="Bookman Old Style" w:cs="Times New Roman"/>
        </w:rPr>
        <w:tab/>
      </w:r>
      <w:r w:rsidRPr="000F6196">
        <w:rPr>
          <w:rFonts w:ascii="Bookman Old Style" w:hAnsi="Bookman Old Style" w:cs="Times New Roman"/>
        </w:rPr>
        <w:tab/>
      </w:r>
      <w:r w:rsidRPr="000F6196">
        <w:rPr>
          <w:rFonts w:ascii="Bookman Old Style" w:hAnsi="Bookman Old Style" w:cs="Times New Roman"/>
        </w:rPr>
        <w:tab/>
      </w:r>
      <w:r w:rsidRPr="000F6196">
        <w:rPr>
          <w:rFonts w:ascii="Bookman Old Style" w:hAnsi="Bookman Old Style" w:cs="Times New Roman"/>
        </w:rPr>
        <w:tab/>
      </w:r>
      <w:r w:rsidRPr="000F6196">
        <w:rPr>
          <w:rFonts w:ascii="Bookman Old Style" w:hAnsi="Bookman Old Style" w:cs="Times New Roman"/>
        </w:rPr>
        <w:tab/>
      </w:r>
      <w:r w:rsidRPr="000F6196">
        <w:rPr>
          <w:rFonts w:ascii="Bookman Old Style" w:hAnsi="Bookman Old Style" w:cs="Times New Roman"/>
        </w:rPr>
        <w:tab/>
      </w:r>
      <w:r w:rsidR="001C6A3D" w:rsidRPr="001C6A3D">
        <w:rPr>
          <w:rFonts w:ascii="Bookman Old Style" w:hAnsi="Bookman Old Style" w:cs="Times New Roman"/>
          <w:highlight w:val="yellow"/>
        </w:rPr>
        <w:t>[Commenter]</w:t>
      </w:r>
    </w:p>
    <w:p w14:paraId="64E225D3" w14:textId="77777777" w:rsidR="003E126E" w:rsidRPr="000F6196" w:rsidRDefault="003E126E">
      <w:pPr>
        <w:rPr>
          <w:rFonts w:ascii="Bookman Old Style" w:hAnsi="Bookman Old Style" w:cs="Times New Roman"/>
        </w:rPr>
      </w:pPr>
    </w:p>
    <w:sectPr w:rsidR="003E126E" w:rsidRPr="000F619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8EFAA" w14:textId="77777777" w:rsidR="004B261F" w:rsidRDefault="004B261F" w:rsidP="00CB7378">
      <w:pPr>
        <w:spacing w:after="0" w:line="240" w:lineRule="auto"/>
      </w:pPr>
      <w:r>
        <w:separator/>
      </w:r>
    </w:p>
  </w:endnote>
  <w:endnote w:type="continuationSeparator" w:id="0">
    <w:p w14:paraId="6C992ABD" w14:textId="77777777" w:rsidR="004B261F" w:rsidRDefault="004B261F" w:rsidP="00CB7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504020202020204"/>
    <w:charset w:val="00"/>
    <w:family w:val="swiss"/>
    <w:pitch w:val="variable"/>
    <w:sig w:usb0="E0002EFF" w:usb1="C000785B" w:usb2="00000009" w:usb3="00000000" w:csb0="000001FF" w:csb1="00000000"/>
  </w:font>
  <w:font w:name="Times New Roman (Body CS)">
    <w:altName w:val="Times New Roman"/>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02EF6" w14:textId="77777777" w:rsidR="004B261F" w:rsidRDefault="004B261F" w:rsidP="00CB7378">
      <w:pPr>
        <w:spacing w:after="0" w:line="240" w:lineRule="auto"/>
      </w:pPr>
      <w:r>
        <w:separator/>
      </w:r>
    </w:p>
  </w:footnote>
  <w:footnote w:type="continuationSeparator" w:id="0">
    <w:p w14:paraId="2D4592C3" w14:textId="77777777" w:rsidR="004B261F" w:rsidRDefault="004B261F" w:rsidP="00CB7378">
      <w:pPr>
        <w:spacing w:after="0" w:line="240" w:lineRule="auto"/>
      </w:pPr>
      <w:r>
        <w:continuationSeparator/>
      </w:r>
    </w:p>
  </w:footnote>
  <w:footnote w:id="1">
    <w:p w14:paraId="232FF15E" w14:textId="77777777" w:rsidR="00CB7378" w:rsidRPr="005D0A09" w:rsidRDefault="00CB7378" w:rsidP="00CB7378">
      <w:pPr>
        <w:pStyle w:val="FootnoteText"/>
      </w:pPr>
      <w:r>
        <w:rPr>
          <w:rStyle w:val="FootnoteReference"/>
        </w:rPr>
        <w:footnoteRef/>
      </w:r>
      <w:r>
        <w:t xml:space="preserve"> Alaska Dep’t of Fish &amp; Game, Food Production and Nutritional Values of Noncommercial Fish and Wildlife Harvests in Alaska (November 2019), </w:t>
      </w:r>
      <w:hyperlink r:id="rId1" w:history="1">
        <w:r w:rsidRPr="00F96BBE">
          <w:rPr>
            <w:rStyle w:val="Hyperlink"/>
          </w:rPr>
          <w:t>https://www.adfg.alaska.gov/static/home/subsistence/pdfs/Wild_Harvest_Notebook.pdf</w:t>
        </w:r>
      </w:hyperlink>
      <w:r>
        <w:t xml:space="preserve">. </w:t>
      </w:r>
    </w:p>
  </w:footnote>
  <w:footnote w:id="2">
    <w:p w14:paraId="18328148" w14:textId="49EE0CA1" w:rsidR="007C113D" w:rsidRPr="007C113D" w:rsidRDefault="007C113D">
      <w:pPr>
        <w:pStyle w:val="FootnoteText"/>
      </w:pPr>
      <w:r>
        <w:rPr>
          <w:rStyle w:val="FootnoteReference"/>
        </w:rPr>
        <w:footnoteRef/>
      </w:r>
      <w:r>
        <w:t xml:space="preserve"> </w:t>
      </w:r>
      <w:r>
        <w:rPr>
          <w:i/>
          <w:iCs/>
        </w:rPr>
        <w:t xml:space="preserve">See </w:t>
      </w:r>
      <w:r>
        <w:t xml:space="preserve">89 Fed. Reg. 14,008 (Feb. 26, 2024). </w:t>
      </w:r>
    </w:p>
  </w:footnote>
  <w:footnote w:id="3">
    <w:p w14:paraId="5F607277" w14:textId="419345EA" w:rsidR="007C113D" w:rsidRDefault="007C113D">
      <w:pPr>
        <w:pStyle w:val="FootnoteText"/>
      </w:pPr>
      <w:r>
        <w:rPr>
          <w:rStyle w:val="FootnoteReference"/>
        </w:rPr>
        <w:footnoteRef/>
      </w:r>
      <w:r>
        <w:t xml:space="preserve"> 89 Fed. Reg. 14,011 (Feb. 26, 2024).</w:t>
      </w:r>
    </w:p>
  </w:footnote>
  <w:footnote w:id="4">
    <w:p w14:paraId="0D9F83B6" w14:textId="5CEF86CD" w:rsidR="00203CCF" w:rsidRDefault="00203CCF">
      <w:pPr>
        <w:pStyle w:val="FootnoteText"/>
      </w:pPr>
      <w:r>
        <w:rPr>
          <w:rStyle w:val="FootnoteReference"/>
        </w:rPr>
        <w:footnoteRef/>
      </w:r>
      <w:r>
        <w:t xml:space="preserve"> ANILCA § 805(3)(C), Pub. L. 96-487. </w:t>
      </w:r>
    </w:p>
  </w:footnote>
  <w:footnote w:id="5">
    <w:p w14:paraId="26A700BA" w14:textId="3B156C73" w:rsidR="00480EAC" w:rsidRPr="00480EAC" w:rsidRDefault="00480EAC">
      <w:pPr>
        <w:pStyle w:val="FootnoteText"/>
      </w:pPr>
      <w:r>
        <w:rPr>
          <w:rStyle w:val="FootnoteReference"/>
        </w:rPr>
        <w:footnoteRef/>
      </w:r>
      <w:r>
        <w:t xml:space="preserve"> </w:t>
      </w:r>
      <w:r>
        <w:rPr>
          <w:i/>
          <w:iCs/>
        </w:rPr>
        <w:t xml:space="preserve">See </w:t>
      </w:r>
      <w:r>
        <w:t xml:space="preserve">73 Fed. Reg. 19433 (Apr. 10, 2008). </w:t>
      </w:r>
    </w:p>
  </w:footnote>
  <w:footnote w:id="6">
    <w:p w14:paraId="56952690" w14:textId="7FC3E285" w:rsidR="005121CD" w:rsidRPr="005121CD" w:rsidRDefault="005121CD">
      <w:pPr>
        <w:pStyle w:val="FootnoteText"/>
      </w:pPr>
      <w:r>
        <w:rPr>
          <w:rStyle w:val="FootnoteReference"/>
        </w:rPr>
        <w:footnoteRef/>
      </w:r>
      <w:r>
        <w:t xml:space="preserve"> </w:t>
      </w:r>
      <w:r>
        <w:rPr>
          <w:i/>
          <w:iCs/>
        </w:rPr>
        <w:t>Id.</w:t>
      </w:r>
      <w:r>
        <w:t xml:space="preserve"> at 19436.</w:t>
      </w:r>
    </w:p>
  </w:footnote>
  <w:footnote w:id="7">
    <w:p w14:paraId="044148DE" w14:textId="24097731" w:rsidR="005121CD" w:rsidRPr="005121CD" w:rsidRDefault="005121CD">
      <w:pPr>
        <w:pStyle w:val="FootnoteText"/>
      </w:pPr>
      <w:r>
        <w:rPr>
          <w:rStyle w:val="FootnoteReference"/>
        </w:rPr>
        <w:footnoteRef/>
      </w:r>
      <w:r>
        <w:t xml:space="preserve"> </w:t>
      </w:r>
      <w:r>
        <w:rPr>
          <w:i/>
          <w:iCs/>
        </w:rPr>
        <w:t xml:space="preserve">Id. </w:t>
      </w:r>
      <w:r>
        <w:t>at 19435.</w:t>
      </w:r>
    </w:p>
  </w:footnote>
  <w:footnote w:id="8">
    <w:p w14:paraId="1C66D1D4" w14:textId="0A39A73E" w:rsidR="00AE7ED2" w:rsidRPr="00AE7ED2" w:rsidRDefault="00AE7ED2">
      <w:pPr>
        <w:pStyle w:val="FootnoteText"/>
      </w:pPr>
      <w:r>
        <w:rPr>
          <w:rStyle w:val="FootnoteReference"/>
        </w:rPr>
        <w:footnoteRef/>
      </w:r>
      <w:r>
        <w:t xml:space="preserve"> </w:t>
      </w:r>
      <w:r>
        <w:rPr>
          <w:i/>
          <w:iCs/>
        </w:rPr>
        <w:t>Alaska Dep’t of Fish &amp; Game v. Federal Subsistence Board</w:t>
      </w:r>
      <w:r>
        <w:t>, 139 F.4th 773, 784–85 (9</w:t>
      </w:r>
      <w:r w:rsidRPr="00AE7ED2">
        <w:t>th</w:t>
      </w:r>
      <w:r>
        <w:t xml:space="preserve"> Cir. 2025). </w:t>
      </w:r>
    </w:p>
  </w:footnote>
  <w:footnote w:id="9">
    <w:p w14:paraId="3FC0DA1D" w14:textId="390AF1C2" w:rsidR="001C6A3D" w:rsidRDefault="001C6A3D">
      <w:pPr>
        <w:pStyle w:val="FootnoteText"/>
      </w:pPr>
      <w:r>
        <w:rPr>
          <w:rStyle w:val="FootnoteReference"/>
        </w:rPr>
        <w:footnoteRef/>
      </w:r>
      <w:r>
        <w:t xml:space="preserve"> </w:t>
      </w:r>
      <w:hyperlink r:id="rId2" w:history="1">
        <w:r w:rsidRPr="004F6899">
          <w:rPr>
            <w:rStyle w:val="Hyperlink"/>
          </w:rPr>
          <w:t>https://www.doi.gov/sites/doi.gov/files/uploads/nonrural-policy-revised-2020-08-04.pdf</w:t>
        </w:r>
      </w:hyperlink>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26E"/>
    <w:rsid w:val="00027890"/>
    <w:rsid w:val="00075B40"/>
    <w:rsid w:val="00081BB9"/>
    <w:rsid w:val="000A66F5"/>
    <w:rsid w:val="000F6196"/>
    <w:rsid w:val="00146ED7"/>
    <w:rsid w:val="0014796E"/>
    <w:rsid w:val="0016700D"/>
    <w:rsid w:val="001C6A3D"/>
    <w:rsid w:val="00203CCF"/>
    <w:rsid w:val="00206906"/>
    <w:rsid w:val="00230365"/>
    <w:rsid w:val="00245957"/>
    <w:rsid w:val="002472AB"/>
    <w:rsid w:val="00261295"/>
    <w:rsid w:val="0029123A"/>
    <w:rsid w:val="00294BB1"/>
    <w:rsid w:val="002B6707"/>
    <w:rsid w:val="002C57A1"/>
    <w:rsid w:val="002F3ACC"/>
    <w:rsid w:val="002F3ED1"/>
    <w:rsid w:val="003414D1"/>
    <w:rsid w:val="003D37B7"/>
    <w:rsid w:val="003E126E"/>
    <w:rsid w:val="003E5DC7"/>
    <w:rsid w:val="00416556"/>
    <w:rsid w:val="00427054"/>
    <w:rsid w:val="004431F4"/>
    <w:rsid w:val="00480EAC"/>
    <w:rsid w:val="004B261F"/>
    <w:rsid w:val="004C2C3E"/>
    <w:rsid w:val="00507EA9"/>
    <w:rsid w:val="005121CD"/>
    <w:rsid w:val="0059275F"/>
    <w:rsid w:val="0061672D"/>
    <w:rsid w:val="006305AC"/>
    <w:rsid w:val="00635375"/>
    <w:rsid w:val="00661822"/>
    <w:rsid w:val="0066582A"/>
    <w:rsid w:val="0068129E"/>
    <w:rsid w:val="006E198E"/>
    <w:rsid w:val="006E64C4"/>
    <w:rsid w:val="00720CD9"/>
    <w:rsid w:val="007C113D"/>
    <w:rsid w:val="007D2108"/>
    <w:rsid w:val="008175B7"/>
    <w:rsid w:val="00877C58"/>
    <w:rsid w:val="008B3AAC"/>
    <w:rsid w:val="008E4F50"/>
    <w:rsid w:val="008E5F0B"/>
    <w:rsid w:val="008F07A7"/>
    <w:rsid w:val="008F3DC1"/>
    <w:rsid w:val="008F711D"/>
    <w:rsid w:val="009048D4"/>
    <w:rsid w:val="00923457"/>
    <w:rsid w:val="00956933"/>
    <w:rsid w:val="009861C2"/>
    <w:rsid w:val="009C1C44"/>
    <w:rsid w:val="009E0B0F"/>
    <w:rsid w:val="00A5528A"/>
    <w:rsid w:val="00A94968"/>
    <w:rsid w:val="00AC17F9"/>
    <w:rsid w:val="00AD247F"/>
    <w:rsid w:val="00AE7ED2"/>
    <w:rsid w:val="00B27CAB"/>
    <w:rsid w:val="00B646F1"/>
    <w:rsid w:val="00B91DFF"/>
    <w:rsid w:val="00B96357"/>
    <w:rsid w:val="00BB309B"/>
    <w:rsid w:val="00BD04AA"/>
    <w:rsid w:val="00BE315F"/>
    <w:rsid w:val="00C0210C"/>
    <w:rsid w:val="00C8083C"/>
    <w:rsid w:val="00C9546C"/>
    <w:rsid w:val="00CB7378"/>
    <w:rsid w:val="00CD1CD9"/>
    <w:rsid w:val="00CF059D"/>
    <w:rsid w:val="00CF66A9"/>
    <w:rsid w:val="00D5530C"/>
    <w:rsid w:val="00D61C92"/>
    <w:rsid w:val="00DF2910"/>
    <w:rsid w:val="00E527F0"/>
    <w:rsid w:val="00F1696A"/>
    <w:rsid w:val="00F3526D"/>
    <w:rsid w:val="00F8205C"/>
    <w:rsid w:val="00FE2EFC"/>
    <w:rsid w:val="00FE652E"/>
    <w:rsid w:val="00FF5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EBB2F"/>
  <w15:chartTrackingRefBased/>
  <w15:docId w15:val="{59447158-6F83-4255-ACB2-66D523026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12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12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12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12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12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12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12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12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12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12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12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12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12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12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12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12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12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126E"/>
    <w:rPr>
      <w:rFonts w:eastAsiaTheme="majorEastAsia" w:cstheme="majorBidi"/>
      <w:color w:val="272727" w:themeColor="text1" w:themeTint="D8"/>
    </w:rPr>
  </w:style>
  <w:style w:type="paragraph" w:styleId="Title">
    <w:name w:val="Title"/>
    <w:basedOn w:val="Normal"/>
    <w:next w:val="Normal"/>
    <w:link w:val="TitleChar"/>
    <w:uiPriority w:val="10"/>
    <w:qFormat/>
    <w:rsid w:val="003E12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12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12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12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126E"/>
    <w:pPr>
      <w:spacing w:before="160"/>
      <w:jc w:val="center"/>
    </w:pPr>
    <w:rPr>
      <w:i/>
      <w:iCs/>
      <w:color w:val="404040" w:themeColor="text1" w:themeTint="BF"/>
    </w:rPr>
  </w:style>
  <w:style w:type="character" w:customStyle="1" w:styleId="QuoteChar">
    <w:name w:val="Quote Char"/>
    <w:basedOn w:val="DefaultParagraphFont"/>
    <w:link w:val="Quote"/>
    <w:uiPriority w:val="29"/>
    <w:rsid w:val="003E126E"/>
    <w:rPr>
      <w:i/>
      <w:iCs/>
      <w:color w:val="404040" w:themeColor="text1" w:themeTint="BF"/>
    </w:rPr>
  </w:style>
  <w:style w:type="paragraph" w:styleId="ListParagraph">
    <w:name w:val="List Paragraph"/>
    <w:basedOn w:val="Normal"/>
    <w:uiPriority w:val="34"/>
    <w:qFormat/>
    <w:rsid w:val="003E126E"/>
    <w:pPr>
      <w:ind w:left="720"/>
      <w:contextualSpacing/>
    </w:pPr>
  </w:style>
  <w:style w:type="character" w:styleId="IntenseEmphasis">
    <w:name w:val="Intense Emphasis"/>
    <w:basedOn w:val="DefaultParagraphFont"/>
    <w:uiPriority w:val="21"/>
    <w:qFormat/>
    <w:rsid w:val="003E126E"/>
    <w:rPr>
      <w:i/>
      <w:iCs/>
      <w:color w:val="0F4761" w:themeColor="accent1" w:themeShade="BF"/>
    </w:rPr>
  </w:style>
  <w:style w:type="paragraph" w:styleId="IntenseQuote">
    <w:name w:val="Intense Quote"/>
    <w:basedOn w:val="Normal"/>
    <w:next w:val="Normal"/>
    <w:link w:val="IntenseQuoteChar"/>
    <w:uiPriority w:val="30"/>
    <w:qFormat/>
    <w:rsid w:val="003E12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126E"/>
    <w:rPr>
      <w:i/>
      <w:iCs/>
      <w:color w:val="0F4761" w:themeColor="accent1" w:themeShade="BF"/>
    </w:rPr>
  </w:style>
  <w:style w:type="character" w:styleId="IntenseReference">
    <w:name w:val="Intense Reference"/>
    <w:basedOn w:val="DefaultParagraphFont"/>
    <w:uiPriority w:val="32"/>
    <w:qFormat/>
    <w:rsid w:val="003E126E"/>
    <w:rPr>
      <w:b/>
      <w:bCs/>
      <w:smallCaps/>
      <w:color w:val="0F4761" w:themeColor="accent1" w:themeShade="BF"/>
      <w:spacing w:val="5"/>
    </w:rPr>
  </w:style>
  <w:style w:type="character" w:styleId="Hyperlink">
    <w:name w:val="Hyperlink"/>
    <w:basedOn w:val="DefaultParagraphFont"/>
    <w:uiPriority w:val="99"/>
    <w:unhideWhenUsed/>
    <w:rsid w:val="00CB7378"/>
    <w:rPr>
      <w:color w:val="467886" w:themeColor="hyperlink"/>
      <w:u w:val="single"/>
    </w:rPr>
  </w:style>
  <w:style w:type="paragraph" w:styleId="FootnoteText">
    <w:name w:val="footnote text"/>
    <w:basedOn w:val="Normal"/>
    <w:link w:val="FootnoteTextChar"/>
    <w:uiPriority w:val="99"/>
    <w:semiHidden/>
    <w:unhideWhenUsed/>
    <w:rsid w:val="00CB7378"/>
    <w:pPr>
      <w:spacing w:after="0" w:line="240" w:lineRule="auto"/>
    </w:pPr>
    <w:rPr>
      <w:rFonts w:ascii="Helvetica" w:hAnsi="Helvetica" w:cs="Times New Roman (Body CS)"/>
      <w:sz w:val="20"/>
      <w:szCs w:val="20"/>
    </w:rPr>
  </w:style>
  <w:style w:type="character" w:customStyle="1" w:styleId="FootnoteTextChar">
    <w:name w:val="Footnote Text Char"/>
    <w:basedOn w:val="DefaultParagraphFont"/>
    <w:link w:val="FootnoteText"/>
    <w:uiPriority w:val="99"/>
    <w:semiHidden/>
    <w:rsid w:val="00CB7378"/>
    <w:rPr>
      <w:rFonts w:ascii="Helvetica" w:hAnsi="Helvetica" w:cs="Times New Roman (Body CS)"/>
      <w:sz w:val="20"/>
      <w:szCs w:val="20"/>
    </w:rPr>
  </w:style>
  <w:style w:type="character" w:styleId="FootnoteReference">
    <w:name w:val="footnote reference"/>
    <w:basedOn w:val="DefaultParagraphFont"/>
    <w:uiPriority w:val="99"/>
    <w:semiHidden/>
    <w:unhideWhenUsed/>
    <w:rsid w:val="00CB7378"/>
    <w:rPr>
      <w:vertAlign w:val="superscript"/>
    </w:rPr>
  </w:style>
  <w:style w:type="character" w:styleId="UnresolvedMention">
    <w:name w:val="Unresolved Mention"/>
    <w:basedOn w:val="DefaultParagraphFont"/>
    <w:uiPriority w:val="99"/>
    <w:semiHidden/>
    <w:unhideWhenUsed/>
    <w:rsid w:val="001C6A3D"/>
    <w:rPr>
      <w:color w:val="605E5C"/>
      <w:shd w:val="clear" w:color="auto" w:fill="E1DFDD"/>
    </w:rPr>
  </w:style>
  <w:style w:type="character" w:styleId="FollowedHyperlink">
    <w:name w:val="FollowedHyperlink"/>
    <w:basedOn w:val="DefaultParagraphFont"/>
    <w:uiPriority w:val="99"/>
    <w:semiHidden/>
    <w:unhideWhenUsed/>
    <w:rsid w:val="001C6A3D"/>
    <w:rPr>
      <w:color w:val="96607D" w:themeColor="followedHyperlink"/>
      <w:u w:val="single"/>
    </w:rPr>
  </w:style>
  <w:style w:type="character" w:styleId="CommentReference">
    <w:name w:val="annotation reference"/>
    <w:basedOn w:val="DefaultParagraphFont"/>
    <w:uiPriority w:val="99"/>
    <w:semiHidden/>
    <w:unhideWhenUsed/>
    <w:rsid w:val="00AD247F"/>
    <w:rPr>
      <w:sz w:val="16"/>
      <w:szCs w:val="16"/>
    </w:rPr>
  </w:style>
  <w:style w:type="paragraph" w:styleId="CommentText">
    <w:name w:val="annotation text"/>
    <w:basedOn w:val="Normal"/>
    <w:link w:val="CommentTextChar"/>
    <w:uiPriority w:val="99"/>
    <w:semiHidden/>
    <w:unhideWhenUsed/>
    <w:rsid w:val="00AD247F"/>
    <w:pPr>
      <w:spacing w:line="240" w:lineRule="auto"/>
    </w:pPr>
    <w:rPr>
      <w:sz w:val="20"/>
      <w:szCs w:val="20"/>
    </w:rPr>
  </w:style>
  <w:style w:type="character" w:customStyle="1" w:styleId="CommentTextChar">
    <w:name w:val="Comment Text Char"/>
    <w:basedOn w:val="DefaultParagraphFont"/>
    <w:link w:val="CommentText"/>
    <w:uiPriority w:val="99"/>
    <w:semiHidden/>
    <w:rsid w:val="00AD247F"/>
    <w:rPr>
      <w:sz w:val="20"/>
      <w:szCs w:val="20"/>
    </w:rPr>
  </w:style>
  <w:style w:type="paragraph" w:styleId="CommentSubject">
    <w:name w:val="annotation subject"/>
    <w:basedOn w:val="CommentText"/>
    <w:next w:val="CommentText"/>
    <w:link w:val="CommentSubjectChar"/>
    <w:uiPriority w:val="99"/>
    <w:semiHidden/>
    <w:unhideWhenUsed/>
    <w:rsid w:val="00AD247F"/>
    <w:rPr>
      <w:b/>
      <w:bCs/>
    </w:rPr>
  </w:style>
  <w:style w:type="character" w:customStyle="1" w:styleId="CommentSubjectChar">
    <w:name w:val="Comment Subject Char"/>
    <w:basedOn w:val="CommentTextChar"/>
    <w:link w:val="CommentSubject"/>
    <w:uiPriority w:val="99"/>
    <w:semiHidden/>
    <w:rsid w:val="00AD247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ubsistence@ios.doi.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doi.gov/sites/doi.gov/files/uploads/nonrural-policy-revised-2020-08-04.pdf" TargetMode="External"/><Relationship Id="rId1" Type="http://schemas.openxmlformats.org/officeDocument/2006/relationships/hyperlink" Target="https://www.adfg.alaska.gov/static/home/subsistence/pdfs/Wild_Harvest_Noteboo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3DE7CE-F62F-474B-8120-2B4BF1C2C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1586</Words>
  <Characters>10790</Characters>
  <Application>Microsoft Office Word</Application>
  <DocSecurity>0</DocSecurity>
  <Lines>980</Lines>
  <Paragraphs>687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Jaeleen J. Kookesh</dc:creator>
  <cp:keywords/>
  <dc:description/>
  <cp:lastModifiedBy>Lisa Ellanna</cp:lastModifiedBy>
  <cp:revision>2</cp:revision>
  <dcterms:created xsi:type="dcterms:W3CDTF">2025-12-17T23:51:00Z</dcterms:created>
  <dcterms:modified xsi:type="dcterms:W3CDTF">2025-12-17T23:51:00Z</dcterms:modified>
</cp:coreProperties>
</file>